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9A8461" w14:textId="64E48381" w:rsidR="00FD2B3B" w:rsidRPr="00D6463B" w:rsidRDefault="00FD2B3B" w:rsidP="005702F9">
      <w:pPr>
        <w:pStyle w:val="DokumentObsah"/>
        <w:jc w:val="both"/>
        <w:rPr>
          <w:b w:val="0"/>
          <w:bCs/>
          <w:sz w:val="30"/>
          <w:szCs w:val="30"/>
        </w:rPr>
      </w:pPr>
      <w:bookmarkStart w:id="0" w:name="_GoBack"/>
      <w:r w:rsidRPr="00D6463B">
        <w:rPr>
          <w:bCs/>
          <w:sz w:val="30"/>
          <w:szCs w:val="30"/>
        </w:rPr>
        <w:t xml:space="preserve">Podle tří čtvrtin Čechů </w:t>
      </w:r>
      <w:r w:rsidR="000426C3">
        <w:rPr>
          <w:bCs/>
          <w:sz w:val="30"/>
          <w:szCs w:val="30"/>
        </w:rPr>
        <w:t>mohou být</w:t>
      </w:r>
      <w:r w:rsidR="000426C3" w:rsidRPr="00D6463B">
        <w:rPr>
          <w:bCs/>
          <w:sz w:val="30"/>
          <w:szCs w:val="30"/>
        </w:rPr>
        <w:t xml:space="preserve"> </w:t>
      </w:r>
      <w:r w:rsidRPr="00D6463B">
        <w:rPr>
          <w:bCs/>
          <w:sz w:val="30"/>
          <w:szCs w:val="30"/>
        </w:rPr>
        <w:t>tělesně postižení lidé přínosem</w:t>
      </w:r>
      <w:r w:rsidRPr="00D6463B" w:rsidDel="005E047E">
        <w:rPr>
          <w:bCs/>
          <w:sz w:val="30"/>
          <w:szCs w:val="30"/>
        </w:rPr>
        <w:t xml:space="preserve"> </w:t>
      </w:r>
      <w:r w:rsidR="00D6463B">
        <w:rPr>
          <w:bCs/>
          <w:sz w:val="30"/>
          <w:szCs w:val="30"/>
        </w:rPr>
        <w:t>pro </w:t>
      </w:r>
      <w:r w:rsidRPr="00D6463B">
        <w:rPr>
          <w:bCs/>
          <w:sz w:val="30"/>
          <w:szCs w:val="30"/>
        </w:rPr>
        <w:t>společnost</w:t>
      </w:r>
      <w:bookmarkEnd w:id="0"/>
      <w:r w:rsidRPr="00D6463B">
        <w:rPr>
          <w:b w:val="0"/>
          <w:bCs/>
          <w:sz w:val="30"/>
          <w:szCs w:val="30"/>
        </w:rPr>
        <w:t xml:space="preserve">. </w:t>
      </w:r>
      <w:r w:rsidRPr="00D6463B">
        <w:rPr>
          <w:bCs/>
          <w:sz w:val="30"/>
          <w:szCs w:val="30"/>
        </w:rPr>
        <w:t>Třetina tvrdí, že jejich obec není dostatečně bezbariérová</w:t>
      </w:r>
    </w:p>
    <w:p w14:paraId="18D5616C" w14:textId="77777777" w:rsidR="00FD2B3B" w:rsidRDefault="00FD2B3B" w:rsidP="00FD2B3B">
      <w:pPr>
        <w:spacing w:after="240" w:line="360" w:lineRule="exact"/>
        <w:jc w:val="both"/>
        <w:rPr>
          <w:rFonts w:ascii="Calibri" w:hAnsi="Calibri" w:cs="Tahoma"/>
          <w:b/>
          <w:bCs/>
          <w:i/>
          <w:iCs/>
          <w:noProof/>
          <w:color w:val="000000" w:themeColor="text1"/>
        </w:rPr>
      </w:pPr>
      <w:r w:rsidRPr="00FD2B3B">
        <w:rPr>
          <w:rFonts w:ascii="Calibri" w:hAnsi="Calibri" w:cs="Tahoma"/>
          <w:b/>
          <w:bCs/>
          <w:i/>
          <w:iCs/>
          <w:noProof/>
          <w:color w:val="000000" w:themeColor="text1"/>
        </w:rPr>
        <w:t>Podle tří čtvrtin Čechů aktivních na internetu mohou lidé s tělesným postižením pro společnost představovat přínos. Výzkum také ukázal, že více než jedna tře</w:t>
      </w:r>
      <w:r w:rsidR="00D6463B">
        <w:rPr>
          <w:rFonts w:ascii="Calibri" w:hAnsi="Calibri" w:cs="Tahoma"/>
          <w:b/>
          <w:bCs/>
          <w:i/>
          <w:iCs/>
          <w:noProof/>
          <w:color w:val="000000" w:themeColor="text1"/>
        </w:rPr>
        <w:t>tina respondentů má aktuálně ve </w:t>
      </w:r>
      <w:r w:rsidRPr="00FD2B3B">
        <w:rPr>
          <w:rFonts w:ascii="Calibri" w:hAnsi="Calibri" w:cs="Tahoma"/>
          <w:b/>
          <w:bCs/>
          <w:i/>
          <w:iCs/>
          <w:noProof/>
          <w:color w:val="000000" w:themeColor="text1"/>
        </w:rPr>
        <w:t>svém okolí handicapovanou osobu. Co se týče začlenění těchto jedinců do společnosti, více než tři čtvrtiny dotázaných míní, že by k němu mělo docházet. Zajímav</w:t>
      </w:r>
      <w:r w:rsidR="00D6463B">
        <w:rPr>
          <w:rFonts w:ascii="Calibri" w:hAnsi="Calibri" w:cs="Tahoma"/>
          <w:b/>
          <w:bCs/>
          <w:i/>
          <w:iCs/>
          <w:noProof/>
          <w:color w:val="000000" w:themeColor="text1"/>
        </w:rPr>
        <w:t>é výsledky přinesla i otázka na </w:t>
      </w:r>
      <w:r w:rsidRPr="00FD2B3B">
        <w:rPr>
          <w:rFonts w:ascii="Calibri" w:hAnsi="Calibri" w:cs="Tahoma"/>
          <w:b/>
          <w:bCs/>
          <w:i/>
          <w:iCs/>
          <w:noProof/>
          <w:color w:val="000000" w:themeColor="text1"/>
        </w:rPr>
        <w:t>bezbariérovost obcí: třetina dotázaných si nemyslí, že je obec, ve které bydlí, adekvátně uzpůsobena pohybu lidí s tělesným postižen</w:t>
      </w:r>
      <w:r>
        <w:rPr>
          <w:rFonts w:ascii="Calibri" w:hAnsi="Calibri" w:cs="Tahoma"/>
          <w:b/>
          <w:bCs/>
          <w:i/>
          <w:iCs/>
          <w:noProof/>
          <w:color w:val="000000" w:themeColor="text1"/>
        </w:rPr>
        <w:t>ím.</w:t>
      </w:r>
    </w:p>
    <w:p w14:paraId="4D071A17" w14:textId="77777777" w:rsidR="005702F9" w:rsidRPr="00FD2B3B" w:rsidRDefault="00604F50" w:rsidP="005702F9">
      <w:pPr>
        <w:spacing w:after="240" w:line="360" w:lineRule="exact"/>
        <w:jc w:val="both"/>
        <w:rPr>
          <w:b/>
          <w:bCs/>
          <w:i/>
          <w:iCs/>
          <w:color w:val="000000" w:themeColor="text1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7215E02D" wp14:editId="4C4604D9">
            <wp:simplePos x="0" y="0"/>
            <wp:positionH relativeFrom="margin">
              <wp:align>center</wp:align>
            </wp:positionH>
            <wp:positionV relativeFrom="paragraph">
              <wp:posOffset>616948</wp:posOffset>
            </wp:positionV>
            <wp:extent cx="3738880" cy="3298190"/>
            <wp:effectExtent l="0" t="0" r="0" b="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88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B3B" w:rsidRPr="00FD2B3B">
        <w:rPr>
          <w:rFonts w:ascii="Calibri" w:hAnsi="Calibri" w:cs="Tahoma"/>
          <w:b/>
          <w:bCs/>
          <w:i/>
          <w:iCs/>
          <w:noProof/>
          <w:color w:val="000000" w:themeColor="text1"/>
        </w:rPr>
        <w:t>Výzkum realizovala společnost Nielsen Admosphere metodou online sběru na vzorku pěti set respondentů z internetové populace Českého národního panelu starších 15 let.</w:t>
      </w:r>
    </w:p>
    <w:p w14:paraId="2480C47E" w14:textId="46D3F945" w:rsidR="00D02ABB" w:rsidRDefault="00604F50" w:rsidP="00FD2B3B">
      <w:pPr>
        <w:spacing w:after="240" w:line="360" w:lineRule="exact"/>
        <w:jc w:val="both"/>
        <w:rPr>
          <w:rFonts w:ascii="Calibri" w:hAnsi="Calibri" w:cs="Tahoma"/>
          <w:bCs/>
          <w:iCs/>
          <w:noProof/>
          <w:color w:val="000000" w:themeColor="text1"/>
        </w:rPr>
      </w:pPr>
      <w:r>
        <w:rPr>
          <w:rFonts w:ascii="Calibri" w:hAnsi="Calibri" w:cs="Tahoma"/>
          <w:bCs/>
          <w:iCs/>
          <w:noProof/>
          <w:color w:val="000000" w:themeColor="text1"/>
        </w:rPr>
        <w:br/>
      </w:r>
      <w:r w:rsidR="00FD2B3B" w:rsidRPr="000426C3">
        <w:rPr>
          <w:rFonts w:ascii="Calibri" w:hAnsi="Calibri" w:cs="Tahoma"/>
          <w:b/>
          <w:bCs/>
          <w:iCs/>
          <w:noProof/>
          <w:color w:val="000000" w:themeColor="text1"/>
        </w:rPr>
        <w:t>Tělesně postiženou osobu</w:t>
      </w:r>
      <w:r w:rsidR="00FD2B3B" w:rsidRPr="00FD2B3B">
        <w:rPr>
          <w:rFonts w:ascii="Calibri" w:hAnsi="Calibri" w:cs="Tahoma"/>
          <w:bCs/>
          <w:iCs/>
          <w:noProof/>
          <w:color w:val="000000" w:themeColor="text1"/>
        </w:rPr>
        <w:t xml:space="preserve">, za kterou se považuje člověk s převažujícím nebo trvalým znevýhodněním v pohybových schopnostech, které ve značné míře znesnadňuje vykonávání běžných každodenních aktivit, </w:t>
      </w:r>
      <w:r w:rsidR="00FD2B3B" w:rsidRPr="000426C3">
        <w:rPr>
          <w:rFonts w:ascii="Calibri" w:hAnsi="Calibri" w:cs="Tahoma"/>
          <w:b/>
          <w:bCs/>
          <w:iCs/>
          <w:noProof/>
          <w:color w:val="000000" w:themeColor="text1"/>
        </w:rPr>
        <w:t>má ve svém okolí více než jedna třetina respondentů</w:t>
      </w:r>
      <w:r w:rsidR="00FD2B3B" w:rsidRPr="00FD2B3B">
        <w:rPr>
          <w:rFonts w:ascii="Calibri" w:hAnsi="Calibri" w:cs="Tahoma"/>
          <w:bCs/>
          <w:iCs/>
          <w:noProof/>
          <w:color w:val="000000" w:themeColor="text1"/>
        </w:rPr>
        <w:t>. Tři čtvrtin</w:t>
      </w:r>
      <w:r w:rsidR="00D6463B">
        <w:rPr>
          <w:rFonts w:ascii="Calibri" w:hAnsi="Calibri" w:cs="Tahoma"/>
          <w:bCs/>
          <w:iCs/>
          <w:noProof/>
          <w:color w:val="000000" w:themeColor="text1"/>
        </w:rPr>
        <w:t xml:space="preserve">y následně </w:t>
      </w:r>
      <w:r w:rsidR="004C6AA7">
        <w:rPr>
          <w:rFonts w:ascii="Calibri" w:hAnsi="Calibri" w:cs="Tahoma"/>
          <w:bCs/>
          <w:iCs/>
          <w:noProof/>
          <w:color w:val="000000" w:themeColor="text1"/>
        </w:rPr>
        <w:t>uvedly</w:t>
      </w:r>
      <w:r w:rsidR="00D6463B">
        <w:rPr>
          <w:rFonts w:ascii="Calibri" w:hAnsi="Calibri" w:cs="Tahoma"/>
          <w:bCs/>
          <w:iCs/>
          <w:noProof/>
          <w:color w:val="000000" w:themeColor="text1"/>
        </w:rPr>
        <w:t>, že jedinci s </w:t>
      </w:r>
      <w:r w:rsidR="00FD2B3B" w:rsidRPr="00FD2B3B">
        <w:rPr>
          <w:rFonts w:ascii="Calibri" w:hAnsi="Calibri" w:cs="Tahoma"/>
          <w:bCs/>
          <w:iCs/>
          <w:noProof/>
          <w:color w:val="000000" w:themeColor="text1"/>
        </w:rPr>
        <w:t xml:space="preserve">tělesným postižením mohou být přínosem pro naši společnost (50 % odpovědělo „určitě ano“, 24 % „spíše ano“). Tento názor převažoval ve větší míře u respondentů ve věku 35–44 let (81 %) než například u nejmladších respondentů ve věku 15–34 let (67 %). Každý pátý dotázaný na tuto otázku neodpověděl z důvodu, že neznal odpověď nebo tuto problematiku nedokázal posoudit, zbytek (6 %) se domnívá, že tělesně postižení nemohou být pro společnost přínosem. </w:t>
      </w:r>
    </w:p>
    <w:p w14:paraId="7AFECAF8" w14:textId="2C988252" w:rsidR="00FD2B3B" w:rsidRDefault="00FD2B3B" w:rsidP="00FD2B3B">
      <w:pPr>
        <w:spacing w:after="240" w:line="360" w:lineRule="exact"/>
        <w:jc w:val="both"/>
        <w:rPr>
          <w:rFonts w:ascii="Calibri" w:hAnsi="Calibri" w:cs="Tahoma"/>
          <w:bCs/>
          <w:iCs/>
          <w:noProof/>
          <w:color w:val="000000" w:themeColor="text1"/>
        </w:rPr>
      </w:pPr>
      <w:r w:rsidRPr="00FD2B3B">
        <w:rPr>
          <w:rFonts w:ascii="Calibri" w:hAnsi="Calibri" w:cs="Tahoma"/>
          <w:bCs/>
          <w:iCs/>
          <w:noProof/>
          <w:color w:val="000000" w:themeColor="text1"/>
        </w:rPr>
        <w:lastRenderedPageBreak/>
        <w:t>Respondenti dále</w:t>
      </w:r>
      <w:r w:rsidR="000426C3">
        <w:rPr>
          <w:rFonts w:ascii="Calibri" w:hAnsi="Calibri" w:cs="Tahoma"/>
          <w:bCs/>
          <w:iCs/>
          <w:noProof/>
          <w:color w:val="000000" w:themeColor="text1"/>
        </w:rPr>
        <w:t xml:space="preserve"> odpovídali na otázku,</w:t>
      </w:r>
      <w:r w:rsidRPr="00FD2B3B">
        <w:rPr>
          <w:rFonts w:ascii="Calibri" w:hAnsi="Calibri" w:cs="Tahoma"/>
          <w:bCs/>
          <w:iCs/>
          <w:noProof/>
          <w:color w:val="000000" w:themeColor="text1"/>
        </w:rPr>
        <w:t xml:space="preserve"> jak se obvykle zachovají, když potkají na ulici v běžné situaci člověka s tělesným postižením. </w:t>
      </w:r>
      <w:r w:rsidRPr="000426C3">
        <w:rPr>
          <w:rFonts w:ascii="Calibri" w:hAnsi="Calibri" w:cs="Tahoma"/>
          <w:b/>
          <w:bCs/>
          <w:iCs/>
          <w:noProof/>
          <w:color w:val="000000" w:themeColor="text1"/>
        </w:rPr>
        <w:t>Většina respondentů (69 %) uvedla, že ta</w:t>
      </w:r>
      <w:r w:rsidR="00D6463B" w:rsidRPr="000426C3">
        <w:rPr>
          <w:rFonts w:ascii="Calibri" w:hAnsi="Calibri" w:cs="Tahoma"/>
          <w:b/>
          <w:bCs/>
          <w:iCs/>
          <w:noProof/>
          <w:color w:val="000000" w:themeColor="text1"/>
        </w:rPr>
        <w:t>kovou osobu osloví, ale pouze v </w:t>
      </w:r>
      <w:r w:rsidRPr="000426C3">
        <w:rPr>
          <w:rFonts w:ascii="Calibri" w:hAnsi="Calibri" w:cs="Tahoma"/>
          <w:b/>
          <w:bCs/>
          <w:iCs/>
          <w:noProof/>
          <w:color w:val="000000" w:themeColor="text1"/>
        </w:rPr>
        <w:t>případě, že potřebuje očividně pomoci a situaci sama nezvládá</w:t>
      </w:r>
      <w:r w:rsidRPr="00FD2B3B">
        <w:rPr>
          <w:rFonts w:ascii="Calibri" w:hAnsi="Calibri" w:cs="Tahoma"/>
          <w:bCs/>
          <w:iCs/>
          <w:noProof/>
          <w:color w:val="000000" w:themeColor="text1"/>
        </w:rPr>
        <w:t>. 8 % dotazovaných uvedlo, že by rádi těmto lidem nabídli pomoc, ale neudělají to kvůli obavám, aby člověka s tělesným postižením neurazili. Tento postoj pozorujeme ve větší míře ve skupině 15–34 let (14 %) a mezi respondenty s nejnižším vzděláním (11 %). Stejný podíl dotázaných (8 %) naopak přistoupí k takové situaci aktivně: odpověděli, že postiženého jedince při setkání osloví a snaží se mu nabídnou</w:t>
      </w:r>
      <w:r w:rsidR="00D6463B">
        <w:rPr>
          <w:rFonts w:ascii="Calibri" w:hAnsi="Calibri" w:cs="Tahoma"/>
          <w:bCs/>
          <w:iCs/>
          <w:noProof/>
          <w:color w:val="000000" w:themeColor="text1"/>
        </w:rPr>
        <w:t>t pomoc. 7 % odpovědělo, že nad </w:t>
      </w:r>
      <w:r w:rsidRPr="00FD2B3B">
        <w:rPr>
          <w:rFonts w:ascii="Calibri" w:hAnsi="Calibri" w:cs="Tahoma"/>
          <w:bCs/>
          <w:iCs/>
          <w:noProof/>
          <w:color w:val="000000" w:themeColor="text1"/>
        </w:rPr>
        <w:t>přítomností tělesně postižené osoby nepřemýšlí a neudělají te</w:t>
      </w:r>
      <w:r w:rsidR="00D6463B">
        <w:rPr>
          <w:rFonts w:ascii="Calibri" w:hAnsi="Calibri" w:cs="Tahoma"/>
          <w:bCs/>
          <w:iCs/>
          <w:noProof/>
          <w:color w:val="000000" w:themeColor="text1"/>
        </w:rPr>
        <w:t>dy v takový moment nic. Žádný z </w:t>
      </w:r>
      <w:r w:rsidRPr="00FD2B3B">
        <w:rPr>
          <w:rFonts w:ascii="Calibri" w:hAnsi="Calibri" w:cs="Tahoma"/>
          <w:bCs/>
          <w:iCs/>
          <w:noProof/>
          <w:color w:val="000000" w:themeColor="text1"/>
        </w:rPr>
        <w:t>dotázaných neuvedl, že by mu byl kontakt s tělesně postiženým nepříjemný, a proto by ho v takové situaci úmyslně přehlédl.</w:t>
      </w:r>
    </w:p>
    <w:p w14:paraId="1BBD8AF3" w14:textId="1F3CB70F" w:rsidR="00FD2B3B" w:rsidRDefault="00604F50" w:rsidP="00FD2B3B">
      <w:pPr>
        <w:spacing w:after="240" w:line="360" w:lineRule="exact"/>
        <w:jc w:val="both"/>
        <w:rPr>
          <w:rFonts w:ascii="Calibri" w:hAnsi="Calibri" w:cs="Tahoma"/>
          <w:bCs/>
          <w:iCs/>
          <w:noProof/>
          <w:color w:val="000000" w:themeColor="text1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3534E541" wp14:editId="60ED9452">
            <wp:simplePos x="0" y="0"/>
            <wp:positionH relativeFrom="margin">
              <wp:posOffset>270510</wp:posOffset>
            </wp:positionH>
            <wp:positionV relativeFrom="paragraph">
              <wp:posOffset>1722247</wp:posOffset>
            </wp:positionV>
            <wp:extent cx="5219065" cy="3492500"/>
            <wp:effectExtent l="0" t="0" r="635" b="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B3B" w:rsidRPr="00FD2B3B">
        <w:rPr>
          <w:rFonts w:ascii="Calibri" w:hAnsi="Calibri" w:cs="Tahoma"/>
          <w:bCs/>
          <w:iCs/>
          <w:noProof/>
          <w:color w:val="000000" w:themeColor="text1"/>
        </w:rPr>
        <w:t xml:space="preserve">S tělesným postižením je spjata i důležitá otázka bezbariérovosti prostředí, ve kterém se tito jedinci pohybují. Týká se to například speciálních úprav v městské hromadné dopravě, vstupech a vnitřních prostorách úřadů, ale i </w:t>
      </w:r>
      <w:r w:rsidR="00FD2B3B" w:rsidRPr="00B10D70">
        <w:rPr>
          <w:rFonts w:ascii="Calibri" w:hAnsi="Calibri" w:cs="Tahoma"/>
          <w:bCs/>
          <w:iCs/>
          <w:noProof/>
          <w:color w:val="000000" w:themeColor="text1"/>
        </w:rPr>
        <w:t xml:space="preserve">jiných </w:t>
      </w:r>
      <w:r w:rsidR="00FD2B3B" w:rsidRPr="00FD2B3B">
        <w:rPr>
          <w:rFonts w:ascii="Calibri" w:hAnsi="Calibri" w:cs="Tahoma"/>
          <w:bCs/>
          <w:iCs/>
          <w:noProof/>
          <w:color w:val="000000" w:themeColor="text1"/>
        </w:rPr>
        <w:t xml:space="preserve">veřejně dostupných místech. </w:t>
      </w:r>
      <w:r w:rsidR="00FD2B3B" w:rsidRPr="000426C3">
        <w:rPr>
          <w:rFonts w:ascii="Calibri" w:hAnsi="Calibri" w:cs="Tahoma"/>
          <w:b/>
          <w:bCs/>
          <w:iCs/>
          <w:noProof/>
          <w:color w:val="000000" w:themeColor="text1"/>
        </w:rPr>
        <w:t>Více než polovina respondentů je toho názoru, že obec, ve které žije, je dostatečně uzpůsobena pro život tělesně postižených</w:t>
      </w:r>
      <w:r w:rsidR="00FD2B3B" w:rsidRPr="00FD2B3B">
        <w:rPr>
          <w:rFonts w:ascii="Calibri" w:hAnsi="Calibri" w:cs="Tahoma"/>
          <w:bCs/>
          <w:iCs/>
          <w:noProof/>
          <w:color w:val="000000" w:themeColor="text1"/>
        </w:rPr>
        <w:t xml:space="preserve"> (9 % určitě ano, 44 % spíše ano). Třetina dotázaných si však myslí opak. Zbytek (15 %) otázku bezbariérovosti nedokáže posoudit. Respondenti, kteří uváděli, že jejich </w:t>
      </w:r>
      <w:r w:rsidR="00A35E0D">
        <w:rPr>
          <w:rFonts w:ascii="Calibri" w:hAnsi="Calibri" w:cs="Tahoma"/>
          <w:bCs/>
          <w:iCs/>
          <w:noProof/>
          <w:color w:val="000000" w:themeColor="text1"/>
        </w:rPr>
        <w:t xml:space="preserve"> obec</w:t>
      </w:r>
      <w:r w:rsidR="00FD2B3B" w:rsidRPr="00FD2B3B">
        <w:rPr>
          <w:rFonts w:ascii="Calibri" w:hAnsi="Calibri" w:cs="Tahoma"/>
          <w:bCs/>
          <w:iCs/>
          <w:noProof/>
          <w:color w:val="000000" w:themeColor="text1"/>
        </w:rPr>
        <w:t xml:space="preserve"> není dostatečně </w:t>
      </w:r>
      <w:r w:rsidR="00A35E0D" w:rsidRPr="00FD2B3B">
        <w:rPr>
          <w:rFonts w:ascii="Calibri" w:hAnsi="Calibri" w:cs="Tahoma"/>
          <w:bCs/>
          <w:iCs/>
          <w:noProof/>
          <w:color w:val="000000" w:themeColor="text1"/>
        </w:rPr>
        <w:t>bezbariérov</w:t>
      </w:r>
      <w:r w:rsidR="00A35E0D">
        <w:rPr>
          <w:rFonts w:ascii="Calibri" w:hAnsi="Calibri" w:cs="Tahoma"/>
          <w:bCs/>
          <w:iCs/>
          <w:noProof/>
          <w:color w:val="000000" w:themeColor="text1"/>
        </w:rPr>
        <w:t>á</w:t>
      </w:r>
      <w:r w:rsidR="00FD2B3B" w:rsidRPr="00FD2B3B">
        <w:rPr>
          <w:rFonts w:ascii="Calibri" w:hAnsi="Calibri" w:cs="Tahoma"/>
          <w:bCs/>
          <w:iCs/>
          <w:noProof/>
          <w:color w:val="000000" w:themeColor="text1"/>
        </w:rPr>
        <w:t>, pocházejí ve větší míře z vesnic (3</w:t>
      </w:r>
      <w:r w:rsidR="00FD2B3B">
        <w:rPr>
          <w:rFonts w:ascii="Calibri" w:hAnsi="Calibri" w:cs="Tahoma"/>
          <w:bCs/>
          <w:iCs/>
          <w:noProof/>
          <w:color w:val="000000" w:themeColor="text1"/>
        </w:rPr>
        <w:t xml:space="preserve">7 %) než z měst (zhruba 30 %). </w:t>
      </w:r>
    </w:p>
    <w:p w14:paraId="518853AF" w14:textId="61AAE435" w:rsidR="00FD2B3B" w:rsidRPr="00FD2B3B" w:rsidRDefault="00455DEA" w:rsidP="00FD2B3B">
      <w:pPr>
        <w:spacing w:after="240" w:line="360" w:lineRule="exact"/>
        <w:jc w:val="both"/>
        <w:rPr>
          <w:rFonts w:ascii="Calibri" w:hAnsi="Calibri" w:cs="Tahoma"/>
          <w:bCs/>
          <w:iCs/>
          <w:noProof/>
          <w:color w:val="000000" w:themeColor="text1"/>
        </w:rPr>
      </w:pPr>
      <w:r>
        <w:rPr>
          <w:rFonts w:ascii="Calibri" w:hAnsi="Calibri" w:cs="Tahoma"/>
          <w:bCs/>
          <w:iCs/>
          <w:noProof/>
          <w:color w:val="000000" w:themeColor="text1"/>
        </w:rPr>
        <w:br/>
      </w:r>
      <w:r w:rsidR="00FD2B3B" w:rsidRPr="00FD2B3B">
        <w:rPr>
          <w:rFonts w:ascii="Calibri" w:hAnsi="Calibri" w:cs="Tahoma"/>
          <w:bCs/>
          <w:iCs/>
          <w:noProof/>
          <w:color w:val="000000" w:themeColor="text1"/>
        </w:rPr>
        <w:t xml:space="preserve">Kvalita života tělesně postižených obecně závisí i na mnoha dalších faktorech a je výsledkem komplexní péče. Respondenti měli možnost vybírat ve výzkumu tvrzení, se kterými se ztotožňují a která </w:t>
      </w:r>
      <w:r w:rsidR="00FD2B3B" w:rsidRPr="00FD2B3B">
        <w:rPr>
          <w:rFonts w:ascii="Calibri" w:hAnsi="Calibri" w:cs="Tahoma"/>
          <w:bCs/>
          <w:iCs/>
          <w:noProof/>
          <w:color w:val="000000" w:themeColor="text1"/>
        </w:rPr>
        <w:lastRenderedPageBreak/>
        <w:t xml:space="preserve">popisovala odpovědnost za kvalitu života lidí s tělesným postižením. </w:t>
      </w:r>
      <w:r w:rsidR="00FD2B3B" w:rsidRPr="000426C3">
        <w:rPr>
          <w:rFonts w:ascii="Calibri" w:hAnsi="Calibri" w:cs="Tahoma"/>
          <w:b/>
          <w:bCs/>
          <w:iCs/>
          <w:noProof/>
          <w:color w:val="000000" w:themeColor="text1"/>
        </w:rPr>
        <w:t>S největším souhlasem se setkal výrok, že za kvalitu života tělesně postižených odpovídá přístup celé naší společnosti (</w:t>
      </w:r>
      <w:r w:rsidR="00EA5DA0" w:rsidRPr="000426C3">
        <w:rPr>
          <w:rFonts w:ascii="Calibri" w:hAnsi="Calibri" w:cs="Tahoma"/>
          <w:b/>
          <w:bCs/>
          <w:iCs/>
          <w:noProof/>
          <w:color w:val="000000" w:themeColor="text1"/>
        </w:rPr>
        <w:t>67</w:t>
      </w:r>
      <w:r w:rsidR="00FD2B3B" w:rsidRPr="000426C3">
        <w:rPr>
          <w:rFonts w:ascii="Calibri" w:hAnsi="Calibri" w:cs="Tahoma"/>
          <w:b/>
          <w:bCs/>
          <w:iCs/>
          <w:noProof/>
          <w:color w:val="000000" w:themeColor="text1"/>
        </w:rPr>
        <w:t xml:space="preserve"> %)</w:t>
      </w:r>
      <w:r w:rsidR="00FD2B3B" w:rsidRPr="00FD2B3B">
        <w:rPr>
          <w:rFonts w:ascii="Calibri" w:hAnsi="Calibri" w:cs="Tahoma"/>
          <w:bCs/>
          <w:iCs/>
          <w:noProof/>
          <w:color w:val="000000" w:themeColor="text1"/>
        </w:rPr>
        <w:t xml:space="preserve">. Vysokou míru souhlasu vyjádřili dotázaní také s názorem, že kvalita </w:t>
      </w:r>
      <w:r w:rsidR="000426C3">
        <w:rPr>
          <w:rFonts w:ascii="Calibri" w:hAnsi="Calibri" w:cs="Tahoma"/>
          <w:bCs/>
          <w:iCs/>
          <w:noProof/>
          <w:color w:val="000000" w:themeColor="text1"/>
        </w:rPr>
        <w:t>života těchto</w:t>
      </w:r>
      <w:r w:rsidR="00FD2B3B" w:rsidRPr="00FD2B3B">
        <w:rPr>
          <w:rFonts w:ascii="Calibri" w:hAnsi="Calibri" w:cs="Tahoma"/>
          <w:bCs/>
          <w:iCs/>
          <w:noProof/>
          <w:color w:val="000000" w:themeColor="text1"/>
        </w:rPr>
        <w:t xml:space="preserve"> lidí je individuální a závisí na každém</w:t>
      </w:r>
      <w:r w:rsidR="00A35E0D">
        <w:rPr>
          <w:rFonts w:ascii="Calibri" w:hAnsi="Calibri" w:cs="Tahoma"/>
          <w:bCs/>
          <w:iCs/>
          <w:noProof/>
          <w:color w:val="000000" w:themeColor="text1"/>
        </w:rPr>
        <w:t xml:space="preserve"> handicapovaném</w:t>
      </w:r>
      <w:r w:rsidR="00FD2B3B" w:rsidRPr="00FD2B3B">
        <w:rPr>
          <w:rFonts w:ascii="Calibri" w:hAnsi="Calibri" w:cs="Tahoma"/>
          <w:bCs/>
          <w:iCs/>
          <w:noProof/>
          <w:color w:val="000000" w:themeColor="text1"/>
        </w:rPr>
        <w:t xml:space="preserve"> jedinci</w:t>
      </w:r>
      <w:r w:rsidR="00A35E0D">
        <w:rPr>
          <w:rFonts w:ascii="Calibri" w:hAnsi="Calibri" w:cs="Tahoma"/>
          <w:bCs/>
          <w:iCs/>
          <w:noProof/>
          <w:color w:val="000000" w:themeColor="text1"/>
        </w:rPr>
        <w:t xml:space="preserve"> </w:t>
      </w:r>
      <w:r w:rsidR="00FD2B3B" w:rsidRPr="00FD2B3B">
        <w:rPr>
          <w:rFonts w:ascii="Calibri" w:hAnsi="Calibri" w:cs="Tahoma"/>
          <w:bCs/>
          <w:iCs/>
          <w:noProof/>
          <w:color w:val="000000" w:themeColor="text1"/>
        </w:rPr>
        <w:t>(46 %). Každý třetí poté souhlasil s tvrzením, že kvalitu života ovlivňují lidé vytvářející legislativu, jako jsou úřady, obce a stát. Téměř třetina se ztotožnila s výrokem, že kvalitu života tělesně postižených mohou ovlivnit především odborníci (lékaři, sociální pracovníci…). 16 % dotázaných označilo rodinu tělesně postižených jako odpov</w:t>
      </w:r>
      <w:r w:rsidR="00FD2B3B">
        <w:rPr>
          <w:rFonts w:ascii="Calibri" w:hAnsi="Calibri" w:cs="Tahoma"/>
          <w:bCs/>
          <w:iCs/>
          <w:noProof/>
          <w:color w:val="000000" w:themeColor="text1"/>
        </w:rPr>
        <w:t>ědnou za kvalitu jejich života.</w:t>
      </w:r>
    </w:p>
    <w:p w14:paraId="75FF3E62" w14:textId="1237F854" w:rsidR="00FD2B3B" w:rsidRPr="005702F9" w:rsidRDefault="00FD2B3B" w:rsidP="005702F9">
      <w:pPr>
        <w:spacing w:after="240" w:line="360" w:lineRule="exact"/>
        <w:jc w:val="both"/>
        <w:rPr>
          <w:rFonts w:ascii="Calibri" w:hAnsi="Calibri" w:cs="Tahoma"/>
          <w:bCs/>
          <w:iCs/>
          <w:noProof/>
          <w:color w:val="000000" w:themeColor="text1"/>
        </w:rPr>
      </w:pPr>
      <w:r w:rsidRPr="00FD2B3B">
        <w:rPr>
          <w:rFonts w:ascii="Calibri" w:hAnsi="Calibri" w:cs="Tahoma"/>
          <w:bCs/>
          <w:iCs/>
          <w:noProof/>
          <w:color w:val="000000" w:themeColor="text1"/>
        </w:rPr>
        <w:t>Respondenti také vyjadřovali svůj názor na problematiku inkluze</w:t>
      </w:r>
      <w:r w:rsidR="000426C3">
        <w:rPr>
          <w:rFonts w:ascii="Calibri" w:hAnsi="Calibri" w:cs="Tahoma"/>
          <w:bCs/>
          <w:iCs/>
          <w:noProof/>
          <w:color w:val="000000" w:themeColor="text1"/>
        </w:rPr>
        <w:t xml:space="preserve"> </w:t>
      </w:r>
      <w:r w:rsidR="00A6410A">
        <w:rPr>
          <w:rFonts w:ascii="Calibri" w:hAnsi="Calibri" w:cs="Tahoma"/>
          <w:bCs/>
          <w:iCs/>
          <w:noProof/>
          <w:color w:val="000000" w:themeColor="text1"/>
        </w:rPr>
        <w:t>–</w:t>
      </w:r>
      <w:r w:rsidR="000426C3">
        <w:rPr>
          <w:rFonts w:ascii="Calibri" w:hAnsi="Calibri" w:cs="Tahoma"/>
          <w:bCs/>
          <w:iCs/>
          <w:noProof/>
          <w:color w:val="000000" w:themeColor="text1"/>
        </w:rPr>
        <w:t xml:space="preserve"> </w:t>
      </w:r>
      <w:r w:rsidRPr="00FD2B3B">
        <w:rPr>
          <w:rFonts w:ascii="Calibri" w:hAnsi="Calibri" w:cs="Tahoma"/>
          <w:bCs/>
          <w:iCs/>
          <w:noProof/>
          <w:color w:val="000000" w:themeColor="text1"/>
        </w:rPr>
        <w:t>zda by podle nich měli být jedinci s</w:t>
      </w:r>
      <w:r w:rsidR="00A6410A">
        <w:rPr>
          <w:rFonts w:ascii="Calibri" w:hAnsi="Calibri" w:cs="Tahoma"/>
          <w:bCs/>
          <w:iCs/>
          <w:noProof/>
          <w:color w:val="000000" w:themeColor="text1"/>
        </w:rPr>
        <w:t> </w:t>
      </w:r>
      <w:r w:rsidRPr="00FD2B3B">
        <w:rPr>
          <w:rFonts w:ascii="Calibri" w:hAnsi="Calibri" w:cs="Tahoma"/>
          <w:bCs/>
          <w:iCs/>
          <w:noProof/>
          <w:color w:val="000000" w:themeColor="text1"/>
        </w:rPr>
        <w:t xml:space="preserve">tělesným postižením začleněni mezi lidi bez postižení, především ve školách a pracovních kolektivech. Více než tři čtvrtiny internetových Čechů </w:t>
      </w:r>
      <w:r w:rsidR="000426C3">
        <w:rPr>
          <w:rFonts w:ascii="Calibri" w:hAnsi="Calibri" w:cs="Tahoma"/>
          <w:bCs/>
          <w:iCs/>
          <w:noProof/>
          <w:color w:val="000000" w:themeColor="text1"/>
        </w:rPr>
        <w:t xml:space="preserve">tomu </w:t>
      </w:r>
      <w:r w:rsidRPr="00FD2B3B">
        <w:rPr>
          <w:rFonts w:ascii="Calibri" w:hAnsi="Calibri" w:cs="Tahoma"/>
          <w:bCs/>
          <w:iCs/>
          <w:noProof/>
          <w:color w:val="000000" w:themeColor="text1"/>
        </w:rPr>
        <w:t>vyjádřily podporu (45 % „určitě ano“, 32 % „spíše ano“), desetina</w:t>
      </w:r>
      <w:r w:rsidR="00D6463B">
        <w:rPr>
          <w:rFonts w:ascii="Calibri" w:hAnsi="Calibri" w:cs="Tahoma"/>
          <w:bCs/>
          <w:iCs/>
          <w:noProof/>
          <w:color w:val="000000" w:themeColor="text1"/>
        </w:rPr>
        <w:t xml:space="preserve"> naopak </w:t>
      </w:r>
      <w:r w:rsidR="000426C3">
        <w:rPr>
          <w:rFonts w:ascii="Calibri" w:hAnsi="Calibri" w:cs="Tahoma"/>
          <w:bCs/>
          <w:iCs/>
          <w:noProof/>
          <w:color w:val="000000" w:themeColor="text1"/>
        </w:rPr>
        <w:t>s inkluzí nesouhlasí</w:t>
      </w:r>
      <w:r w:rsidR="00D6463B">
        <w:rPr>
          <w:rFonts w:ascii="Calibri" w:hAnsi="Calibri" w:cs="Tahoma"/>
          <w:bCs/>
          <w:iCs/>
          <w:noProof/>
          <w:color w:val="000000" w:themeColor="text1"/>
        </w:rPr>
        <w:t xml:space="preserve">. </w:t>
      </w:r>
      <w:r w:rsidR="000426C3">
        <w:rPr>
          <w:rFonts w:ascii="Calibri" w:hAnsi="Calibri" w:cs="Tahoma"/>
          <w:bCs/>
          <w:iCs/>
          <w:noProof/>
          <w:color w:val="000000" w:themeColor="text1"/>
        </w:rPr>
        <w:t>Ve větší míře takto odpovídali</w:t>
      </w:r>
      <w:r w:rsidRPr="00FD2B3B">
        <w:rPr>
          <w:rFonts w:ascii="Calibri" w:hAnsi="Calibri" w:cs="Tahoma"/>
          <w:bCs/>
          <w:iCs/>
          <w:noProof/>
          <w:color w:val="000000" w:themeColor="text1"/>
        </w:rPr>
        <w:t xml:space="preserve"> nejmladší respondenti ve věku 15–34 let (17 %) oproti věkové kategorii 35–44 (6 %) a nad 45 let (7 %).</w:t>
      </w:r>
    </w:p>
    <w:p w14:paraId="5C091F53" w14:textId="77777777" w:rsidR="00F05C36" w:rsidRPr="00C2072A" w:rsidRDefault="005702F9" w:rsidP="00F05C36">
      <w:pPr>
        <w:spacing w:after="240" w:line="360" w:lineRule="exact"/>
        <w:contextualSpacing/>
        <w:rPr>
          <w:rFonts w:ascii="Calibri" w:hAnsi="Calibri"/>
        </w:rPr>
      </w:pPr>
      <w:r>
        <w:rPr>
          <w:rFonts w:ascii="Calibri" w:hAnsi="Calibri"/>
          <w:b/>
          <w:bCs/>
          <w:color w:val="FF9900"/>
        </w:rPr>
        <w:br/>
      </w:r>
      <w:r w:rsidR="00F05C36" w:rsidRPr="00C2072A">
        <w:rPr>
          <w:rFonts w:ascii="Calibri" w:hAnsi="Calibri"/>
          <w:b/>
          <w:bCs/>
          <w:color w:val="FF9900"/>
        </w:rPr>
        <w:t>Eliška Morochovičová</w:t>
      </w:r>
      <w:r w:rsidR="00F05C36" w:rsidRPr="00C2072A">
        <w:rPr>
          <w:rFonts w:ascii="Calibri" w:hAnsi="Calibri"/>
          <w:b/>
          <w:bCs/>
        </w:rPr>
        <w:t xml:space="preserve"> </w:t>
      </w:r>
      <w:r w:rsidR="00F05C36" w:rsidRPr="00C2072A">
        <w:rPr>
          <w:rFonts w:ascii="Calibri" w:hAnsi="Calibri"/>
        </w:rPr>
        <w:t xml:space="preserve">| Public Relations </w:t>
      </w:r>
      <w:r w:rsidR="00F05C36" w:rsidRPr="00C2072A">
        <w:rPr>
          <w:rFonts w:ascii="Calibri" w:hAnsi="Calibri"/>
        </w:rPr>
        <w:br/>
      </w:r>
      <w:hyperlink r:id="rId10" w:history="1">
        <w:r w:rsidR="00F05C36" w:rsidRPr="00C2072A">
          <w:rPr>
            <w:rStyle w:val="Hypertextovodkaz"/>
            <w:rFonts w:ascii="Calibri" w:hAnsi="Calibri"/>
            <w:noProof/>
            <w:color w:val="auto"/>
          </w:rPr>
          <w:t>eliska.morochovicova@admosphere.cz</w:t>
        </w:r>
      </w:hyperlink>
    </w:p>
    <w:p w14:paraId="65039861" w14:textId="77777777" w:rsidR="00F05C36" w:rsidRPr="00C2072A" w:rsidRDefault="00F05C36" w:rsidP="00F05C36">
      <w:pPr>
        <w:spacing w:after="240" w:line="360" w:lineRule="exact"/>
        <w:contextualSpacing/>
        <w:rPr>
          <w:rStyle w:val="Hypertextovodkaz"/>
          <w:rFonts w:ascii="Calibri" w:hAnsi="Calibri"/>
          <w:noProof/>
          <w:color w:val="auto"/>
        </w:rPr>
      </w:pPr>
      <w:r w:rsidRPr="00C2072A">
        <w:rPr>
          <w:rFonts w:ascii="Calibri" w:hAnsi="Calibri"/>
        </w:rPr>
        <w:t xml:space="preserve">Nielsen Admosphere, a.s.| Českobratrská 2778/1 | 130 00 Praha 3 | tel.: +420 222 717 763 | </w:t>
      </w:r>
      <w:hyperlink r:id="rId11" w:history="1">
        <w:r w:rsidRPr="00C2072A">
          <w:rPr>
            <w:rStyle w:val="Hypertextovodkaz"/>
            <w:rFonts w:ascii="Calibri" w:hAnsi="Calibri"/>
            <w:noProof/>
            <w:color w:val="auto"/>
          </w:rPr>
          <w:t>www.nielsen-admosphere.cz</w:t>
        </w:r>
      </w:hyperlink>
    </w:p>
    <w:p w14:paraId="55F9AA49" w14:textId="77777777" w:rsidR="00075706" w:rsidRDefault="00075706">
      <w:pPr>
        <w:rPr>
          <w:b/>
          <w:color w:val="000000" w:themeColor="text1"/>
        </w:rPr>
      </w:pPr>
    </w:p>
    <w:p w14:paraId="6606A5AF" w14:textId="77777777" w:rsidR="00D6463B" w:rsidRPr="00360B78" w:rsidRDefault="00D6463B" w:rsidP="00D6463B">
      <w:pPr>
        <w:spacing w:after="240" w:line="360" w:lineRule="exact"/>
        <w:contextualSpacing/>
        <w:rPr>
          <w:rFonts w:ascii="Calibri" w:hAnsi="Calibri"/>
        </w:rPr>
      </w:pPr>
      <w:r w:rsidRPr="00360B78">
        <w:rPr>
          <w:rFonts w:ascii="Calibri" w:hAnsi="Calibri"/>
          <w:b/>
          <w:bCs/>
          <w:color w:val="FF9900"/>
        </w:rPr>
        <w:t>Linda Machová</w:t>
      </w:r>
      <w:r w:rsidRPr="00360B78">
        <w:rPr>
          <w:rFonts w:ascii="Calibri" w:hAnsi="Calibri"/>
          <w:b/>
          <w:bCs/>
        </w:rPr>
        <w:t xml:space="preserve"> </w:t>
      </w:r>
      <w:r w:rsidRPr="00360B78">
        <w:rPr>
          <w:rFonts w:ascii="Calibri" w:hAnsi="Calibri"/>
        </w:rPr>
        <w:t xml:space="preserve">| Research Manager </w:t>
      </w:r>
      <w:r w:rsidRPr="00360B78">
        <w:rPr>
          <w:rFonts w:ascii="Calibri" w:hAnsi="Calibri"/>
        </w:rPr>
        <w:br/>
      </w:r>
      <w:hyperlink r:id="rId12" w:history="1">
        <w:r w:rsidRPr="00360B78">
          <w:rPr>
            <w:rStyle w:val="Hypertextovodkaz"/>
            <w:rFonts w:ascii="Calibri" w:hAnsi="Calibri"/>
            <w:noProof/>
            <w:color w:val="000000" w:themeColor="text1"/>
          </w:rPr>
          <w:t>linda.machova@admosphere.cz</w:t>
        </w:r>
      </w:hyperlink>
    </w:p>
    <w:p w14:paraId="280F0B62" w14:textId="77777777" w:rsidR="00D6463B" w:rsidRPr="00C2072A" w:rsidRDefault="00D6463B" w:rsidP="00D6463B">
      <w:pPr>
        <w:spacing w:after="240" w:line="360" w:lineRule="exact"/>
        <w:contextualSpacing/>
        <w:rPr>
          <w:rStyle w:val="Hypertextovodkaz"/>
          <w:rFonts w:ascii="Calibri" w:hAnsi="Calibri"/>
          <w:noProof/>
          <w:color w:val="auto"/>
        </w:rPr>
      </w:pPr>
      <w:r w:rsidRPr="00360B78">
        <w:rPr>
          <w:rFonts w:ascii="Calibri" w:hAnsi="Calibri"/>
        </w:rPr>
        <w:t xml:space="preserve">Nielsen Admosphere, a.s.| Českobratrská 2778/1 | 130 00 Praha 3 | tel.: +420 222 717 763 | </w:t>
      </w:r>
      <w:hyperlink r:id="rId13" w:history="1">
        <w:r w:rsidRPr="00360B78">
          <w:rPr>
            <w:rStyle w:val="Hypertextovodkaz"/>
            <w:rFonts w:ascii="Calibri" w:hAnsi="Calibri"/>
            <w:noProof/>
            <w:color w:val="auto"/>
          </w:rPr>
          <w:t>www.nielsen-admosphere.cz</w:t>
        </w:r>
      </w:hyperlink>
    </w:p>
    <w:p w14:paraId="64347C27" w14:textId="77777777" w:rsidR="00D6463B" w:rsidRDefault="00D6463B">
      <w:pPr>
        <w:rPr>
          <w:rFonts w:ascii="Calibri" w:eastAsia="Times New Roman" w:hAnsi="Calibri" w:cs="Times New Roman"/>
          <w:b/>
          <w:color w:val="000000" w:themeColor="text1"/>
          <w:lang w:eastAsia="cs-CZ"/>
        </w:rPr>
      </w:pPr>
    </w:p>
    <w:p w14:paraId="4C8BBDEE" w14:textId="0B8F784A" w:rsidR="00F05C36" w:rsidRPr="00815CF0" w:rsidRDefault="00B10D70" w:rsidP="00F05C36">
      <w:pPr>
        <w:pStyle w:val="Dokumenttext"/>
        <w:rPr>
          <w:b/>
          <w:color w:val="000000" w:themeColor="text1"/>
        </w:rPr>
      </w:pPr>
      <w:r w:rsidRPr="00B10D70">
        <w:rPr>
          <w:noProof/>
          <w:color w:val="808080"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013AD1CC" wp14:editId="20A76393">
            <wp:simplePos x="0" y="0"/>
            <wp:positionH relativeFrom="column">
              <wp:posOffset>-7620</wp:posOffset>
            </wp:positionH>
            <wp:positionV relativeFrom="paragraph">
              <wp:posOffset>266624</wp:posOffset>
            </wp:positionV>
            <wp:extent cx="1133475" cy="453390"/>
            <wp:effectExtent l="0" t="0" r="0" b="3810"/>
            <wp:wrapTopAndBottom/>
            <wp:docPr id="3" name="Obrázek 3" descr="X:\02-Company\03-PR\11-Pracovni\Grafika\Podpis do mailu\2021\NAD_20_let_RGB\NAD_20_let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02-Company\03-PR\11-Pracovni\Grafika\Podpis do mailu\2021\NAD_20_let_RGB\NAD_20_let_RG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C36" w:rsidRPr="00815CF0">
        <w:rPr>
          <w:b/>
          <w:color w:val="000000" w:themeColor="text1"/>
        </w:rPr>
        <w:t>Doplňující informace:</w:t>
      </w:r>
    </w:p>
    <w:p w14:paraId="28024488" w14:textId="4FE416B2" w:rsidR="00F05C36" w:rsidRPr="00C2072A" w:rsidRDefault="00F05C36" w:rsidP="00F05C36">
      <w:pPr>
        <w:pStyle w:val="Dokumenttext"/>
        <w:rPr>
          <w:color w:val="808080"/>
          <w:sz w:val="20"/>
          <w:szCs w:val="20"/>
        </w:rPr>
      </w:pPr>
      <w:r w:rsidRPr="00C2072A">
        <w:rPr>
          <w:color w:val="808080"/>
          <w:sz w:val="20"/>
          <w:szCs w:val="20"/>
        </w:rPr>
        <w:t xml:space="preserve">Společnost </w:t>
      </w:r>
      <w:r w:rsidRPr="00C2072A">
        <w:rPr>
          <w:b/>
          <w:color w:val="808080"/>
          <w:sz w:val="20"/>
          <w:szCs w:val="20"/>
        </w:rPr>
        <w:t>Nielsen Admosphere</w:t>
      </w:r>
      <w:r w:rsidRPr="00C2072A">
        <w:rPr>
          <w:sz w:val="20"/>
          <w:szCs w:val="20"/>
        </w:rPr>
        <w:t xml:space="preserve"> </w:t>
      </w:r>
      <w:r w:rsidRPr="00C2072A">
        <w:rPr>
          <w:color w:val="808080"/>
          <w:sz w:val="20"/>
          <w:szCs w:val="20"/>
        </w:rPr>
        <w:t>(</w:t>
      </w:r>
      <w:hyperlink r:id="rId15" w:history="1">
        <w:r w:rsidRPr="00C2072A">
          <w:rPr>
            <w:rStyle w:val="Hypertextovodkaz"/>
            <w:color w:val="808080"/>
            <w:sz w:val="20"/>
          </w:rPr>
          <w:t>www.nielsen-admosphere.cz</w:t>
        </w:r>
      </w:hyperlink>
      <w:r w:rsidRPr="00C2072A">
        <w:rPr>
          <w:color w:val="808080"/>
          <w:sz w:val="20"/>
          <w:szCs w:val="20"/>
        </w:rPr>
        <w:t>) je výzkumnou agenturou s širokým portfoliem produktů a služeb v oblasti marketingových a mediálních výzkumů, analýz a zpracování dat. Zaměřuje se především na metodologicky a technologicky náročné projekty, jako je elektronické měření sledovanosti televize metodou TV metrů. Pro elektronické měření médií vyvíjí vlastní technologie pod značkou SimMetry™. Věnuje se i monitoringu reklamy, marketingovému výzkumu (onli</w:t>
      </w:r>
      <w:r w:rsidR="009B3D13">
        <w:rPr>
          <w:color w:val="808080"/>
          <w:sz w:val="20"/>
          <w:szCs w:val="20"/>
        </w:rPr>
        <w:t>ne průzkumy, CAWI, CATI průzku</w:t>
      </w:r>
      <w:r w:rsidRPr="00C2072A">
        <w:rPr>
          <w:color w:val="808080"/>
          <w:sz w:val="20"/>
          <w:szCs w:val="20"/>
        </w:rPr>
        <w:t>my…) a analýze dat a nabízí komplexní servis spolehlivé výzkumné agentury se zázemím mezinárodní výzkumné společnosti Nielsen.</w:t>
      </w:r>
      <w:r w:rsidR="00B10D70">
        <w:rPr>
          <w:color w:val="808080"/>
          <w:sz w:val="20"/>
          <w:szCs w:val="20"/>
        </w:rPr>
        <w:t xml:space="preserve"> Na českém trhu působí od roku 2001.</w:t>
      </w:r>
    </w:p>
    <w:p w14:paraId="7A0BCC8D" w14:textId="1DD0B118" w:rsidR="00F05C36" w:rsidRDefault="00F05C36" w:rsidP="00F05C36">
      <w:pPr>
        <w:pStyle w:val="Dokumenttext"/>
        <w:rPr>
          <w:color w:val="808080"/>
          <w:sz w:val="20"/>
          <w:szCs w:val="20"/>
        </w:rPr>
      </w:pPr>
      <w:r w:rsidRPr="00C2072A">
        <w:rPr>
          <w:color w:val="808080"/>
          <w:sz w:val="20"/>
          <w:szCs w:val="20"/>
        </w:rPr>
        <w:t>Součástí skupiny Nielsen Admosphere je i společnost Adwind Software, která vyvíjí software pro práci s daty z výzkumů sledovanosti a monitoringu reklamy.</w:t>
      </w:r>
    </w:p>
    <w:p w14:paraId="05D7BF36" w14:textId="1C4329A9" w:rsidR="00B10D70" w:rsidRPr="00C2072A" w:rsidRDefault="00B10D70" w:rsidP="00F05C36">
      <w:pPr>
        <w:pStyle w:val="Dokumenttext"/>
        <w:rPr>
          <w:color w:val="808080"/>
          <w:sz w:val="20"/>
          <w:szCs w:val="20"/>
        </w:rPr>
      </w:pPr>
    </w:p>
    <w:p w14:paraId="31B33170" w14:textId="5C94BE31" w:rsidR="00F05C36" w:rsidRPr="00C2072A" w:rsidRDefault="00F05C36" w:rsidP="00F05C36">
      <w:pPr>
        <w:pStyle w:val="Dokumenttext"/>
        <w:rPr>
          <w:color w:val="808080"/>
          <w:sz w:val="20"/>
          <w:szCs w:val="20"/>
        </w:rPr>
      </w:pPr>
      <w:r w:rsidRPr="00C2072A">
        <w:rPr>
          <w:b/>
          <w:color w:val="808080"/>
          <w:sz w:val="20"/>
          <w:szCs w:val="20"/>
        </w:rPr>
        <w:lastRenderedPageBreak/>
        <w:t>Český národní panel</w:t>
      </w:r>
      <w:r w:rsidRPr="00C2072A">
        <w:rPr>
          <w:color w:val="808080"/>
          <w:sz w:val="20"/>
          <w:szCs w:val="20"/>
        </w:rPr>
        <w:t xml:space="preserve"> (</w:t>
      </w:r>
      <w:hyperlink r:id="rId16" w:history="1">
        <w:r w:rsidRPr="00C2072A">
          <w:rPr>
            <w:rStyle w:val="Hypertextovodkaz"/>
            <w:color w:val="808080"/>
            <w:sz w:val="20"/>
            <w:szCs w:val="20"/>
          </w:rPr>
          <w:t>www.ceskynarodnipanel.cz</w:t>
        </w:r>
      </w:hyperlink>
      <w:r w:rsidRPr="00C2072A">
        <w:rPr>
          <w:color w:val="808080"/>
          <w:sz w:val="20"/>
          <w:szCs w:val="20"/>
        </w:rPr>
        <w:t>) je jedním z největších výzkumných panelů v Česku, na Slovensku (Slovenský národný panel – SNaP), v Polsku, v Maďarsku a v Bulharsku. Jeho spoluvlastníkem je výzkumná agentura Nielsen Admosphere. Panel slouží pro kvalitní a rychlé on-line sběry dat o internetové populaci. Disponuje početnou skupinou 50 000 respondentů v České republice, 25 000 respondentů na Slovensku, 17 000 v Polsku, 17 000 v Maďarsku a 10 000 v Bulharsku.</w:t>
      </w:r>
    </w:p>
    <w:p w14:paraId="427C6509" w14:textId="0671D68E" w:rsidR="00F05C36" w:rsidRPr="00C2072A" w:rsidRDefault="00F05C36" w:rsidP="00F05C36">
      <w:pPr>
        <w:pStyle w:val="Dokumenttext"/>
        <w:rPr>
          <w:color w:val="808080"/>
          <w:sz w:val="20"/>
          <w:szCs w:val="20"/>
        </w:rPr>
      </w:pPr>
      <w:r w:rsidRPr="00C2072A">
        <w:rPr>
          <w:noProof/>
        </w:rPr>
        <w:drawing>
          <wp:anchor distT="0" distB="0" distL="114300" distR="114300" simplePos="0" relativeHeight="251659264" behindDoc="0" locked="0" layoutInCell="1" allowOverlap="1" wp14:anchorId="7A6186CD" wp14:editId="7CBEC32D">
            <wp:simplePos x="0" y="0"/>
            <wp:positionH relativeFrom="column">
              <wp:posOffset>-4445</wp:posOffset>
            </wp:positionH>
            <wp:positionV relativeFrom="paragraph">
              <wp:posOffset>167005</wp:posOffset>
            </wp:positionV>
            <wp:extent cx="1424940" cy="300990"/>
            <wp:effectExtent l="0" t="0" r="3810" b="3810"/>
            <wp:wrapTopAndBottom/>
            <wp:docPr id="18" name="Obrázek 18" descr="PRO výzkum_mail banner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 výzkum_mail banner_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30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072A">
        <w:rPr>
          <w:b/>
          <w:color w:val="808080"/>
          <w:sz w:val="20"/>
          <w:szCs w:val="20"/>
        </w:rPr>
        <w:t>PRO VÝZKUM</w:t>
      </w:r>
      <w:r w:rsidRPr="00C2072A">
        <w:rPr>
          <w:color w:val="808080"/>
          <w:sz w:val="20"/>
          <w:szCs w:val="20"/>
        </w:rPr>
        <w:t xml:space="preserve"> (</w:t>
      </w:r>
      <w:hyperlink r:id="rId18" w:history="1">
        <w:r w:rsidRPr="00C2072A">
          <w:rPr>
            <w:rStyle w:val="Hypertextovodkaz"/>
            <w:color w:val="808080"/>
            <w:sz w:val="20"/>
            <w:szCs w:val="20"/>
          </w:rPr>
          <w:t>www.provyzkum.cz</w:t>
        </w:r>
      </w:hyperlink>
      <w:r w:rsidRPr="00C2072A">
        <w:rPr>
          <w:color w:val="808080"/>
          <w:sz w:val="20"/>
          <w:szCs w:val="20"/>
        </w:rPr>
        <w:t>) je veřejně prospěšná aktivita výzkumníků působících v prověřených agenturách pro výzkum trhu a veřejného mínění, jejíž aktivity koordinuje sdružení SIMAR. Iniciativy se účastní agentury, které se aktivně podílejí na tvorbě a dodržování etických a zákonných pravidel a akceptují oborové Desatero pro ochranu osobních údaj</w:t>
      </w:r>
      <w:r w:rsidR="009B3D13">
        <w:rPr>
          <w:color w:val="808080"/>
          <w:sz w:val="20"/>
          <w:szCs w:val="20"/>
        </w:rPr>
        <w:t>ů.</w:t>
      </w:r>
    </w:p>
    <w:p w14:paraId="393CF1D2" w14:textId="654F5A0D" w:rsidR="00F43807" w:rsidRPr="00C2072A" w:rsidRDefault="00F43807" w:rsidP="00F05C36"/>
    <w:sectPr w:rsidR="00F43807" w:rsidRPr="00C2072A" w:rsidSect="00F05C36">
      <w:headerReference w:type="default" r:id="rId19"/>
      <w:footerReference w:type="default" r:id="rId20"/>
      <w:pgSz w:w="11906" w:h="16838"/>
      <w:pgMar w:top="1985" w:right="1417" w:bottom="1417" w:left="1417" w:header="708" w:footer="571" w:gutter="0"/>
      <w:pgNumType w:start="1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329CC0" w16cex:dateUtc="2021-04-27T12:22:00Z"/>
  <w16cex:commentExtensible w16cex:durableId="24329E7D" w16cex:dateUtc="2021-04-27T12:30:00Z"/>
  <w16cex:commentExtensible w16cex:durableId="24329EF3" w16cex:dateUtc="2021-04-27T12:32:00Z"/>
  <w16cex:commentExtensible w16cex:durableId="2432A896" w16cex:dateUtc="2021-04-27T13:13:00Z"/>
  <w16cex:commentExtensible w16cex:durableId="24329F15" w16cex:dateUtc="2021-04-27T12:32:00Z"/>
  <w16cex:commentExtensible w16cex:durableId="2432A2F4" w16cex:dateUtc="2021-04-27T12:49:00Z"/>
  <w16cex:commentExtensible w16cex:durableId="2432A161" w16cex:dateUtc="2021-04-27T12:4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968DC6" w14:textId="77777777" w:rsidR="00060B73" w:rsidRDefault="00060B73" w:rsidP="00F41A48">
      <w:pPr>
        <w:spacing w:after="0" w:line="240" w:lineRule="auto"/>
      </w:pPr>
      <w:r>
        <w:separator/>
      </w:r>
    </w:p>
  </w:endnote>
  <w:endnote w:type="continuationSeparator" w:id="0">
    <w:p w14:paraId="43F57737" w14:textId="77777777" w:rsidR="00060B73" w:rsidRDefault="00060B73" w:rsidP="00F41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52804985"/>
      <w:docPartObj>
        <w:docPartGallery w:val="Page Numbers (Bottom of Page)"/>
        <w:docPartUnique/>
      </w:docPartObj>
    </w:sdtPr>
    <w:sdtEndPr/>
    <w:sdtContent>
      <w:p w14:paraId="19F80330" w14:textId="5D324D38" w:rsidR="002A2B5D" w:rsidRDefault="002A2B5D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0D70">
          <w:rPr>
            <w:noProof/>
          </w:rPr>
          <w:t>1</w:t>
        </w:r>
        <w:r>
          <w:fldChar w:fldCharType="end"/>
        </w:r>
      </w:p>
    </w:sdtContent>
  </w:sdt>
  <w:p w14:paraId="5A9F002F" w14:textId="77777777" w:rsidR="002A2B5D" w:rsidRDefault="002A2B5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7A4C91" w14:textId="77777777" w:rsidR="00060B73" w:rsidRDefault="00060B73" w:rsidP="00F41A48">
      <w:pPr>
        <w:spacing w:after="0" w:line="240" w:lineRule="auto"/>
      </w:pPr>
      <w:r>
        <w:separator/>
      </w:r>
    </w:p>
  </w:footnote>
  <w:footnote w:type="continuationSeparator" w:id="0">
    <w:p w14:paraId="461A03A0" w14:textId="77777777" w:rsidR="00060B73" w:rsidRDefault="00060B73" w:rsidP="00F41A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EA5EFD" w14:textId="77777777" w:rsidR="00F05C36" w:rsidRPr="00F05C36" w:rsidRDefault="00F05C36" w:rsidP="00F05C36">
    <w:pPr>
      <w:pStyle w:val="Zhlav"/>
      <w:rPr>
        <w:b/>
      </w:rPr>
    </w:pPr>
    <w:r>
      <w:rPr>
        <w:noProof/>
        <w:lang w:eastAsia="cs-CZ"/>
      </w:rPr>
      <w:drawing>
        <wp:anchor distT="0" distB="0" distL="114300" distR="114300" simplePos="0" relativeHeight="251660800" behindDoc="0" locked="0" layoutInCell="1" allowOverlap="1" wp14:anchorId="25F2D2BB" wp14:editId="6F8B12D8">
          <wp:simplePos x="0" y="0"/>
          <wp:positionH relativeFrom="column">
            <wp:posOffset>3388088</wp:posOffset>
          </wp:positionH>
          <wp:positionV relativeFrom="paragraph">
            <wp:posOffset>18415</wp:posOffset>
          </wp:positionV>
          <wp:extent cx="2359816" cy="259080"/>
          <wp:effectExtent l="0" t="0" r="2540" b="7620"/>
          <wp:wrapNone/>
          <wp:docPr id="33" name="Obráze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iels_adm_color_rgb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9816" cy="259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413C">
      <w:rPr>
        <w:b/>
      </w:rPr>
      <w:t>TISKOVÁ ZPRÁVA</w:t>
    </w:r>
  </w:p>
  <w:p w14:paraId="054AE542" w14:textId="311E3D36" w:rsidR="00F41A48" w:rsidRPr="00075706" w:rsidRDefault="00F05C36">
    <w:pPr>
      <w:pStyle w:val="Zhlav"/>
      <w:rPr>
        <w:b/>
        <w:color w:val="FF0000"/>
      </w:rPr>
    </w:pPr>
    <w:r>
      <w:rPr>
        <w:noProof/>
        <w:lang w:eastAsia="cs-CZ"/>
      </w:rPr>
      <w:drawing>
        <wp:anchor distT="0" distB="0" distL="114300" distR="114300" simplePos="0" relativeHeight="251657728" behindDoc="1" locked="0" layoutInCell="1" allowOverlap="1" wp14:anchorId="455ECA2D" wp14:editId="607EF4CA">
          <wp:simplePos x="0" y="0"/>
          <wp:positionH relativeFrom="column">
            <wp:posOffset>4001453</wp:posOffset>
          </wp:positionH>
          <wp:positionV relativeFrom="paragraph">
            <wp:posOffset>4554174</wp:posOffset>
          </wp:positionV>
          <wp:extent cx="168910" cy="10508615"/>
          <wp:effectExtent l="0" t="7303" r="0" b="0"/>
          <wp:wrapNone/>
          <wp:docPr id="34" name="Obrázek 34" descr="C:\Users\eliskam\AppData\Local\Microsoft\Windows\INetCache\Content.Word\A4doc_nielsen_adm_strip_oran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eliskam\AppData\Local\Microsoft\Windows\INetCache\Content.Word\A4doc_nielsen_adm_strip_orang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168910" cy="10508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05C36">
      <w:rPr>
        <w:b/>
      </w:rPr>
      <w:t xml:space="preserve">Nielsen Admosphere, a.s., Praha, </w:t>
    </w:r>
    <w:r w:rsidR="00455DEA">
      <w:rPr>
        <w:b/>
        <w:color w:val="000000" w:themeColor="text1"/>
      </w:rPr>
      <w:t>17</w:t>
    </w:r>
    <w:r w:rsidR="00EB13DD" w:rsidRPr="00604F50">
      <w:rPr>
        <w:b/>
        <w:color w:val="000000" w:themeColor="text1"/>
      </w:rPr>
      <w:t xml:space="preserve">. </w:t>
    </w:r>
    <w:r w:rsidR="00455DEA">
      <w:rPr>
        <w:b/>
        <w:color w:val="000000" w:themeColor="text1"/>
      </w:rPr>
      <w:t>6</w:t>
    </w:r>
    <w:r w:rsidRPr="00604F50">
      <w:rPr>
        <w:b/>
        <w:color w:val="000000" w:themeColor="text1"/>
      </w:rPr>
      <w:t>. 202</w:t>
    </w:r>
    <w:r w:rsidR="00911338" w:rsidRPr="00604F50">
      <w:rPr>
        <w:b/>
        <w:color w:val="000000" w:themeColor="text1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6571DA"/>
    <w:multiLevelType w:val="multilevel"/>
    <w:tmpl w:val="45B6BA78"/>
    <w:lvl w:ilvl="0">
      <w:start w:val="1"/>
      <w:numFmt w:val="decimal"/>
      <w:pStyle w:val="Nadpis1"/>
      <w:lvlText w:val="%1."/>
      <w:lvlJc w:val="left"/>
      <w:pPr>
        <w:ind w:left="2417" w:hanging="432"/>
      </w:pPr>
      <w:rPr>
        <w:rFonts w:hint="default"/>
      </w:rPr>
    </w:lvl>
    <w:lvl w:ilvl="1">
      <w:start w:val="1"/>
      <w:numFmt w:val="decimal"/>
      <w:pStyle w:val="Nadpis2"/>
      <w:lvlText w:val="%1.%2."/>
      <w:lvlJc w:val="left"/>
      <w:pPr>
        <w:ind w:left="2561" w:hanging="576"/>
      </w:pPr>
      <w:rPr>
        <w:rFonts w:hint="default"/>
      </w:rPr>
    </w:lvl>
    <w:lvl w:ilvl="2">
      <w:start w:val="1"/>
      <w:numFmt w:val="decimal"/>
      <w:pStyle w:val="Nadpis3"/>
      <w:lvlText w:val="%1.%2.%3.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pStyle w:val="Nadpis4"/>
      <w:lvlText w:val="%1.%2.%3.%4."/>
      <w:lvlJc w:val="left"/>
      <w:pPr>
        <w:ind w:left="2849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2993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3137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3281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3425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3569" w:hanging="1584"/>
      </w:pPr>
      <w:rPr>
        <w:rFonts w:hint="default"/>
      </w:rPr>
    </w:lvl>
  </w:abstractNum>
  <w:abstractNum w:abstractNumId="1" w15:restartNumberingAfterBreak="0">
    <w:nsid w:val="19172CE9"/>
    <w:multiLevelType w:val="singleLevel"/>
    <w:tmpl w:val="E9785170"/>
    <w:lvl w:ilvl="0">
      <w:start w:val="1"/>
      <w:numFmt w:val="decimal"/>
      <w:pStyle w:val="Dokumentnadpisobrzek"/>
      <w:lvlText w:val="Obr. %1."/>
      <w:lvlJc w:val="left"/>
      <w:pPr>
        <w:tabs>
          <w:tab w:val="num" w:pos="1004"/>
        </w:tabs>
        <w:ind w:left="1004" w:hanging="360"/>
      </w:pPr>
      <w:rPr>
        <w:rFonts w:hint="default"/>
        <w:b/>
        <w:i w:val="0"/>
        <w:color w:val="auto"/>
        <w:sz w:val="20"/>
        <w:u w:color="FFFFFF"/>
      </w:rPr>
    </w:lvl>
  </w:abstractNum>
  <w:abstractNum w:abstractNumId="2" w15:restartNumberingAfterBreak="0">
    <w:nsid w:val="2E965A0E"/>
    <w:multiLevelType w:val="hybridMultilevel"/>
    <w:tmpl w:val="47F86550"/>
    <w:lvl w:ilvl="0" w:tplc="2CD8E268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</w:lvl>
  </w:abstractNum>
  <w:abstractNum w:abstractNumId="3" w15:restartNumberingAfterBreak="0">
    <w:nsid w:val="35B813C2"/>
    <w:multiLevelType w:val="hybridMultilevel"/>
    <w:tmpl w:val="C4B256FA"/>
    <w:lvl w:ilvl="0" w:tplc="240EA616">
      <w:start w:val="1"/>
      <w:numFmt w:val="decimal"/>
      <w:pStyle w:val="Dokumentnadpistabulka"/>
      <w:lvlText w:val="Tab. %1."/>
      <w:lvlJc w:val="left"/>
      <w:pPr>
        <w:ind w:left="1364" w:hanging="360"/>
      </w:pPr>
      <w:rPr>
        <w:rFonts w:hint="default"/>
        <w:b/>
        <w:i w:val="0"/>
        <w:color w:val="auto"/>
        <w:sz w:val="20"/>
        <w:u w:color="FFFFFF"/>
      </w:rPr>
    </w:lvl>
    <w:lvl w:ilvl="1" w:tplc="04050019" w:tentative="1">
      <w:start w:val="1"/>
      <w:numFmt w:val="lowerLetter"/>
      <w:lvlText w:val="%2."/>
      <w:lvlJc w:val="left"/>
      <w:pPr>
        <w:ind w:left="2084" w:hanging="360"/>
      </w:pPr>
    </w:lvl>
    <w:lvl w:ilvl="2" w:tplc="0405001B" w:tentative="1">
      <w:start w:val="1"/>
      <w:numFmt w:val="lowerRoman"/>
      <w:lvlText w:val="%3."/>
      <w:lvlJc w:val="right"/>
      <w:pPr>
        <w:ind w:left="2804" w:hanging="180"/>
      </w:pPr>
    </w:lvl>
    <w:lvl w:ilvl="3" w:tplc="0405000F" w:tentative="1">
      <w:start w:val="1"/>
      <w:numFmt w:val="decimal"/>
      <w:lvlText w:val="%4."/>
      <w:lvlJc w:val="left"/>
      <w:pPr>
        <w:ind w:left="3524" w:hanging="360"/>
      </w:pPr>
    </w:lvl>
    <w:lvl w:ilvl="4" w:tplc="04050019" w:tentative="1">
      <w:start w:val="1"/>
      <w:numFmt w:val="lowerLetter"/>
      <w:lvlText w:val="%5."/>
      <w:lvlJc w:val="left"/>
      <w:pPr>
        <w:ind w:left="4244" w:hanging="360"/>
      </w:pPr>
    </w:lvl>
    <w:lvl w:ilvl="5" w:tplc="0405001B" w:tentative="1">
      <w:start w:val="1"/>
      <w:numFmt w:val="lowerRoman"/>
      <w:lvlText w:val="%6."/>
      <w:lvlJc w:val="right"/>
      <w:pPr>
        <w:ind w:left="4964" w:hanging="180"/>
      </w:pPr>
    </w:lvl>
    <w:lvl w:ilvl="6" w:tplc="0405000F" w:tentative="1">
      <w:start w:val="1"/>
      <w:numFmt w:val="decimal"/>
      <w:lvlText w:val="%7."/>
      <w:lvlJc w:val="left"/>
      <w:pPr>
        <w:ind w:left="5684" w:hanging="360"/>
      </w:pPr>
    </w:lvl>
    <w:lvl w:ilvl="7" w:tplc="04050019" w:tentative="1">
      <w:start w:val="1"/>
      <w:numFmt w:val="lowerLetter"/>
      <w:lvlText w:val="%8."/>
      <w:lvlJc w:val="left"/>
      <w:pPr>
        <w:ind w:left="6404" w:hanging="360"/>
      </w:pPr>
    </w:lvl>
    <w:lvl w:ilvl="8" w:tplc="040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" w15:restartNumberingAfterBreak="0">
    <w:nsid w:val="66DB361E"/>
    <w:multiLevelType w:val="multilevel"/>
    <w:tmpl w:val="B0EE178A"/>
    <w:lvl w:ilvl="0">
      <w:start w:val="1"/>
      <w:numFmt w:val="bullet"/>
      <w:pStyle w:val="Dokumentodrka2"/>
      <w:lvlText w:val=""/>
      <w:lvlJc w:val="left"/>
      <w:pPr>
        <w:ind w:left="720" w:hanging="363"/>
      </w:pPr>
      <w:rPr>
        <w:rFonts w:ascii="Wingdings" w:hAnsi="Wingdings" w:hint="default"/>
        <w:color w:val="FF9900"/>
        <w:position w:val="0"/>
        <w:sz w:val="18"/>
      </w:rPr>
    </w:lvl>
    <w:lvl w:ilvl="1">
      <w:start w:val="1"/>
      <w:numFmt w:val="bullet"/>
      <w:lvlText w:val=""/>
      <w:lvlJc w:val="left"/>
      <w:pPr>
        <w:ind w:left="1440" w:hanging="363"/>
      </w:pPr>
      <w:rPr>
        <w:rFonts w:ascii="Wingdings" w:hAnsi="Wingdings" w:hint="default"/>
        <w:color w:val="707276"/>
        <w:sz w:val="20"/>
      </w:rPr>
    </w:lvl>
    <w:lvl w:ilvl="2">
      <w:start w:val="1"/>
      <w:numFmt w:val="bullet"/>
      <w:lvlText w:val="─"/>
      <w:lvlJc w:val="left"/>
      <w:pPr>
        <w:ind w:left="2160" w:hanging="363"/>
      </w:pPr>
      <w:rPr>
        <w:rFonts w:ascii="Calibri" w:hAnsi="Calibri" w:hint="default"/>
        <w:color w:val="707276"/>
        <w:sz w:val="12"/>
      </w:rPr>
    </w:lvl>
    <w:lvl w:ilvl="3">
      <w:start w:val="1"/>
      <w:numFmt w:val="bullet"/>
      <w:lvlText w:val=""/>
      <w:lvlJc w:val="left"/>
      <w:pPr>
        <w:ind w:left="2880" w:hanging="363"/>
      </w:pPr>
      <w:rPr>
        <w:rFonts w:ascii="Symbol" w:hAnsi="Symbol" w:hint="default"/>
        <w:color w:val="707276"/>
      </w:rPr>
    </w:lvl>
    <w:lvl w:ilvl="4">
      <w:start w:val="1"/>
      <w:numFmt w:val="bullet"/>
      <w:lvlText w:val="o"/>
      <w:lvlJc w:val="left"/>
      <w:pPr>
        <w:ind w:left="3600" w:hanging="363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3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3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3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3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"/>
  </w:num>
  <w:num w:numId="6">
    <w:abstractNumId w:val="2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C36"/>
    <w:rsid w:val="00016E3B"/>
    <w:rsid w:val="000426C3"/>
    <w:rsid w:val="00060B73"/>
    <w:rsid w:val="00075706"/>
    <w:rsid w:val="00077AD9"/>
    <w:rsid w:val="0009075C"/>
    <w:rsid w:val="000B0B3A"/>
    <w:rsid w:val="000C6A4E"/>
    <w:rsid w:val="0011648E"/>
    <w:rsid w:val="0012266F"/>
    <w:rsid w:val="00125C58"/>
    <w:rsid w:val="00126F9B"/>
    <w:rsid w:val="00131BAA"/>
    <w:rsid w:val="00131DB1"/>
    <w:rsid w:val="001423BA"/>
    <w:rsid w:val="001472B6"/>
    <w:rsid w:val="00162B06"/>
    <w:rsid w:val="00172669"/>
    <w:rsid w:val="001A7179"/>
    <w:rsid w:val="001C157F"/>
    <w:rsid w:val="001C5C39"/>
    <w:rsid w:val="00205596"/>
    <w:rsid w:val="00206A27"/>
    <w:rsid w:val="002212AD"/>
    <w:rsid w:val="00225664"/>
    <w:rsid w:val="00236C6E"/>
    <w:rsid w:val="002716EB"/>
    <w:rsid w:val="0029420C"/>
    <w:rsid w:val="002A2B5D"/>
    <w:rsid w:val="002C21BC"/>
    <w:rsid w:val="002D3C84"/>
    <w:rsid w:val="00303EF7"/>
    <w:rsid w:val="00310D31"/>
    <w:rsid w:val="0031221D"/>
    <w:rsid w:val="00331D39"/>
    <w:rsid w:val="00360B78"/>
    <w:rsid w:val="003708EE"/>
    <w:rsid w:val="0038756E"/>
    <w:rsid w:val="00397546"/>
    <w:rsid w:val="003C1DC5"/>
    <w:rsid w:val="003D56A2"/>
    <w:rsid w:val="003E09F5"/>
    <w:rsid w:val="003F0DC5"/>
    <w:rsid w:val="00455DEA"/>
    <w:rsid w:val="004648F6"/>
    <w:rsid w:val="004709B5"/>
    <w:rsid w:val="00497B1B"/>
    <w:rsid w:val="004C33B2"/>
    <w:rsid w:val="004C4BE6"/>
    <w:rsid w:val="004C6AA7"/>
    <w:rsid w:val="004E6C5B"/>
    <w:rsid w:val="004F45F6"/>
    <w:rsid w:val="005264FD"/>
    <w:rsid w:val="00546F71"/>
    <w:rsid w:val="005475B8"/>
    <w:rsid w:val="00551314"/>
    <w:rsid w:val="00563EA0"/>
    <w:rsid w:val="005702F9"/>
    <w:rsid w:val="00581FE2"/>
    <w:rsid w:val="00590966"/>
    <w:rsid w:val="005A3FB3"/>
    <w:rsid w:val="005B094B"/>
    <w:rsid w:val="005B75D5"/>
    <w:rsid w:val="005C1FE5"/>
    <w:rsid w:val="005C678E"/>
    <w:rsid w:val="005D421A"/>
    <w:rsid w:val="00600975"/>
    <w:rsid w:val="00604F50"/>
    <w:rsid w:val="00607FC9"/>
    <w:rsid w:val="00656DF3"/>
    <w:rsid w:val="00660C0D"/>
    <w:rsid w:val="00664B43"/>
    <w:rsid w:val="0067085A"/>
    <w:rsid w:val="00687313"/>
    <w:rsid w:val="00693046"/>
    <w:rsid w:val="006B3705"/>
    <w:rsid w:val="006D1BF3"/>
    <w:rsid w:val="006D2CDB"/>
    <w:rsid w:val="006E46DF"/>
    <w:rsid w:val="006E691A"/>
    <w:rsid w:val="006E6D5A"/>
    <w:rsid w:val="0070453A"/>
    <w:rsid w:val="00725500"/>
    <w:rsid w:val="00736438"/>
    <w:rsid w:val="00743699"/>
    <w:rsid w:val="0075589A"/>
    <w:rsid w:val="007A2607"/>
    <w:rsid w:val="00804CF9"/>
    <w:rsid w:val="00815CF0"/>
    <w:rsid w:val="0081674D"/>
    <w:rsid w:val="00830F54"/>
    <w:rsid w:val="0084576D"/>
    <w:rsid w:val="00850C91"/>
    <w:rsid w:val="008B6D4D"/>
    <w:rsid w:val="008D587E"/>
    <w:rsid w:val="008F5014"/>
    <w:rsid w:val="00911338"/>
    <w:rsid w:val="00912DC0"/>
    <w:rsid w:val="00944AA4"/>
    <w:rsid w:val="00945D43"/>
    <w:rsid w:val="00945F52"/>
    <w:rsid w:val="00962F79"/>
    <w:rsid w:val="00976C99"/>
    <w:rsid w:val="009A08A4"/>
    <w:rsid w:val="009A25FC"/>
    <w:rsid w:val="009A7C12"/>
    <w:rsid w:val="009B1955"/>
    <w:rsid w:val="009B3D13"/>
    <w:rsid w:val="009C0B3C"/>
    <w:rsid w:val="009D0075"/>
    <w:rsid w:val="00A15F6D"/>
    <w:rsid w:val="00A35E0D"/>
    <w:rsid w:val="00A55F53"/>
    <w:rsid w:val="00A6410A"/>
    <w:rsid w:val="00AB60BB"/>
    <w:rsid w:val="00AC2C0E"/>
    <w:rsid w:val="00AE216E"/>
    <w:rsid w:val="00AE77B4"/>
    <w:rsid w:val="00B07DAD"/>
    <w:rsid w:val="00B10D70"/>
    <w:rsid w:val="00B22C62"/>
    <w:rsid w:val="00B47F68"/>
    <w:rsid w:val="00B67B08"/>
    <w:rsid w:val="00B76868"/>
    <w:rsid w:val="00B84FDE"/>
    <w:rsid w:val="00BD00BE"/>
    <w:rsid w:val="00BF413C"/>
    <w:rsid w:val="00C01E34"/>
    <w:rsid w:val="00C0761B"/>
    <w:rsid w:val="00C2072A"/>
    <w:rsid w:val="00C20946"/>
    <w:rsid w:val="00C27F1E"/>
    <w:rsid w:val="00C338C2"/>
    <w:rsid w:val="00C42B7D"/>
    <w:rsid w:val="00C62AF2"/>
    <w:rsid w:val="00C73820"/>
    <w:rsid w:val="00C946A2"/>
    <w:rsid w:val="00C97C61"/>
    <w:rsid w:val="00CA5E1B"/>
    <w:rsid w:val="00CD182B"/>
    <w:rsid w:val="00CE17B5"/>
    <w:rsid w:val="00CE4A0A"/>
    <w:rsid w:val="00CE7C86"/>
    <w:rsid w:val="00D02ABB"/>
    <w:rsid w:val="00D41F99"/>
    <w:rsid w:val="00D45CB8"/>
    <w:rsid w:val="00D56BD1"/>
    <w:rsid w:val="00D62307"/>
    <w:rsid w:val="00D62A58"/>
    <w:rsid w:val="00D6463B"/>
    <w:rsid w:val="00D93545"/>
    <w:rsid w:val="00DC3445"/>
    <w:rsid w:val="00DD323F"/>
    <w:rsid w:val="00DF35D8"/>
    <w:rsid w:val="00DF5406"/>
    <w:rsid w:val="00E35DFF"/>
    <w:rsid w:val="00E44A28"/>
    <w:rsid w:val="00E8602F"/>
    <w:rsid w:val="00E90E30"/>
    <w:rsid w:val="00E91D48"/>
    <w:rsid w:val="00EA5DA0"/>
    <w:rsid w:val="00EB13DD"/>
    <w:rsid w:val="00EF3689"/>
    <w:rsid w:val="00F05C36"/>
    <w:rsid w:val="00F33DA4"/>
    <w:rsid w:val="00F418E0"/>
    <w:rsid w:val="00F41A48"/>
    <w:rsid w:val="00F43807"/>
    <w:rsid w:val="00F9587D"/>
    <w:rsid w:val="00FA7AB0"/>
    <w:rsid w:val="00FD2B3B"/>
    <w:rsid w:val="00FD70FE"/>
    <w:rsid w:val="00FF6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E3EA46E"/>
  <w15:chartTrackingRefBased/>
  <w15:docId w15:val="{4759D913-73D9-46EB-9F41-EC5322E04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F41A48"/>
    <w:pPr>
      <w:keepNext/>
      <w:pageBreakBefore/>
      <w:numPr>
        <w:numId w:val="1"/>
      </w:numPr>
      <w:spacing w:before="480" w:after="120" w:line="240" w:lineRule="auto"/>
      <w:ind w:left="567" w:hanging="567"/>
      <w:jc w:val="both"/>
      <w:outlineLvl w:val="0"/>
    </w:pPr>
    <w:rPr>
      <w:rFonts w:ascii="Calibri" w:eastAsia="Times New Roman" w:hAnsi="Calibri" w:cs="Tahoma"/>
      <w:b/>
      <w:bCs/>
      <w:color w:val="FF9900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F41A48"/>
    <w:pPr>
      <w:keepNext/>
      <w:numPr>
        <w:ilvl w:val="1"/>
        <w:numId w:val="1"/>
      </w:numPr>
      <w:spacing w:before="240" w:after="240" w:line="240" w:lineRule="auto"/>
      <w:ind w:left="851" w:hanging="851"/>
      <w:outlineLvl w:val="1"/>
    </w:pPr>
    <w:rPr>
      <w:rFonts w:ascii="Calibri" w:eastAsia="Times New Roman" w:hAnsi="Calibri" w:cs="Tahoma"/>
      <w:b/>
      <w:bCs/>
      <w:sz w:val="36"/>
      <w:szCs w:val="36"/>
      <w:lang w:eastAsia="cs-CZ"/>
    </w:rPr>
  </w:style>
  <w:style w:type="paragraph" w:styleId="Nadpis3">
    <w:name w:val="heading 3"/>
    <w:basedOn w:val="Normln"/>
    <w:next w:val="Normln"/>
    <w:link w:val="Nadpis3Char"/>
    <w:qFormat/>
    <w:rsid w:val="00F41A48"/>
    <w:pPr>
      <w:keepNext/>
      <w:numPr>
        <w:ilvl w:val="2"/>
        <w:numId w:val="1"/>
      </w:numPr>
      <w:spacing w:before="240" w:after="60" w:line="360" w:lineRule="exact"/>
      <w:ind w:left="1134" w:hanging="1134"/>
      <w:jc w:val="both"/>
      <w:outlineLvl w:val="2"/>
    </w:pPr>
    <w:rPr>
      <w:rFonts w:ascii="Calibri" w:eastAsia="Times New Roman" w:hAnsi="Calibri" w:cs="Tahoma"/>
      <w:b/>
      <w:bCs/>
      <w:color w:val="000000" w:themeColor="text1"/>
      <w:sz w:val="32"/>
      <w:szCs w:val="26"/>
      <w:lang w:eastAsia="cs-CZ"/>
    </w:rPr>
  </w:style>
  <w:style w:type="paragraph" w:styleId="Nadpis4">
    <w:name w:val="heading 4"/>
    <w:basedOn w:val="Normln"/>
    <w:next w:val="Normln"/>
    <w:link w:val="Nadpis4Char"/>
    <w:qFormat/>
    <w:rsid w:val="00F41A48"/>
    <w:pPr>
      <w:keepNext/>
      <w:numPr>
        <w:ilvl w:val="3"/>
        <w:numId w:val="1"/>
      </w:numPr>
      <w:spacing w:before="240" w:after="60" w:line="360" w:lineRule="exact"/>
      <w:ind w:left="1418" w:hanging="1418"/>
      <w:jc w:val="both"/>
      <w:outlineLvl w:val="3"/>
    </w:pPr>
    <w:rPr>
      <w:rFonts w:ascii="Calibri" w:eastAsia="Times New Roman" w:hAnsi="Calibri" w:cs="Times New Roman"/>
      <w:b/>
      <w:bCs/>
      <w:szCs w:val="28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F41A48"/>
    <w:pPr>
      <w:numPr>
        <w:ilvl w:val="4"/>
        <w:numId w:val="1"/>
      </w:numPr>
      <w:spacing w:before="240" w:after="60" w:line="360" w:lineRule="exact"/>
      <w:jc w:val="both"/>
      <w:outlineLvl w:val="4"/>
    </w:pPr>
    <w:rPr>
      <w:rFonts w:ascii="Calibri" w:eastAsia="Times New Roman" w:hAnsi="Calibri" w:cs="Times New Roman"/>
      <w:bCs/>
      <w:iCs/>
      <w:sz w:val="26"/>
      <w:szCs w:val="26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F41A48"/>
    <w:pPr>
      <w:numPr>
        <w:ilvl w:val="5"/>
        <w:numId w:val="1"/>
      </w:numPr>
      <w:spacing w:before="240" w:after="60" w:line="360" w:lineRule="exact"/>
      <w:jc w:val="both"/>
      <w:outlineLvl w:val="5"/>
    </w:pPr>
    <w:rPr>
      <w:rFonts w:ascii="Calibri" w:eastAsia="Times New Roman" w:hAnsi="Calibri" w:cs="Times New Roman"/>
      <w:b/>
      <w:bCs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F41A48"/>
    <w:pPr>
      <w:numPr>
        <w:ilvl w:val="6"/>
        <w:numId w:val="1"/>
      </w:numPr>
      <w:spacing w:before="240" w:after="60" w:line="360" w:lineRule="exact"/>
      <w:jc w:val="both"/>
      <w:outlineLvl w:val="6"/>
    </w:pPr>
    <w:rPr>
      <w:rFonts w:ascii="Calibri" w:eastAsia="Times New Roman" w:hAnsi="Calibri" w:cs="Times New Roman"/>
      <w:sz w:val="24"/>
      <w:szCs w:val="24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F41A48"/>
    <w:pPr>
      <w:numPr>
        <w:ilvl w:val="7"/>
        <w:numId w:val="1"/>
      </w:numPr>
      <w:spacing w:before="240" w:after="60" w:line="360" w:lineRule="exact"/>
      <w:jc w:val="both"/>
      <w:outlineLvl w:val="7"/>
    </w:pPr>
    <w:rPr>
      <w:rFonts w:ascii="Calibri" w:eastAsia="Times New Roman" w:hAnsi="Calibri" w:cs="Times New Roman"/>
      <w:iCs/>
      <w:sz w:val="24"/>
      <w:szCs w:val="24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F41A48"/>
    <w:pPr>
      <w:numPr>
        <w:ilvl w:val="8"/>
        <w:numId w:val="1"/>
      </w:numPr>
      <w:spacing w:before="240" w:after="60" w:line="360" w:lineRule="exact"/>
      <w:jc w:val="both"/>
      <w:outlineLvl w:val="8"/>
    </w:pPr>
    <w:rPr>
      <w:rFonts w:ascii="Calibri" w:eastAsia="Times New Roman" w:hAnsi="Calibri" w:cs="Arial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41A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41A48"/>
  </w:style>
  <w:style w:type="paragraph" w:styleId="Zpat">
    <w:name w:val="footer"/>
    <w:basedOn w:val="Normln"/>
    <w:link w:val="ZpatChar"/>
    <w:uiPriority w:val="99"/>
    <w:unhideWhenUsed/>
    <w:rsid w:val="00F41A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41A48"/>
  </w:style>
  <w:style w:type="paragraph" w:customStyle="1" w:styleId="DokumentObsah">
    <w:name w:val="Dokument Obsah"/>
    <w:basedOn w:val="Normln"/>
    <w:qFormat/>
    <w:rsid w:val="00F41A48"/>
    <w:pPr>
      <w:spacing w:after="200" w:line="276" w:lineRule="auto"/>
    </w:pPr>
    <w:rPr>
      <w:rFonts w:ascii="Calibri" w:eastAsia="Calibri" w:hAnsi="Calibri" w:cs="Tahoma"/>
      <w:b/>
      <w:noProof/>
      <w:color w:val="FF9900"/>
      <w:sz w:val="44"/>
      <w:lang w:eastAsia="cs-CZ"/>
    </w:rPr>
  </w:style>
  <w:style w:type="character" w:styleId="Hypertextovodkaz">
    <w:name w:val="Hyperlink"/>
    <w:basedOn w:val="Standardnpsmoodstavce"/>
    <w:uiPriority w:val="99"/>
    <w:rsid w:val="00F41A48"/>
    <w:rPr>
      <w:color w:val="0000FF"/>
      <w:u w:val="single"/>
    </w:rPr>
  </w:style>
  <w:style w:type="paragraph" w:styleId="Obsah1">
    <w:name w:val="toc 1"/>
    <w:basedOn w:val="Normln"/>
    <w:next w:val="Normln"/>
    <w:autoRedefine/>
    <w:uiPriority w:val="39"/>
    <w:unhideWhenUsed/>
    <w:rsid w:val="00F41A48"/>
    <w:pPr>
      <w:spacing w:before="360" w:after="360" w:line="360" w:lineRule="exact"/>
    </w:pPr>
    <w:rPr>
      <w:rFonts w:ascii="Calibri" w:eastAsia="Times New Roman" w:hAnsi="Calibri" w:cs="Times New Roman"/>
      <w:b/>
      <w:bCs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F41A48"/>
    <w:pPr>
      <w:spacing w:after="0" w:line="360" w:lineRule="exact"/>
    </w:pPr>
    <w:rPr>
      <w:rFonts w:ascii="Calibri" w:eastAsia="Times New Roman" w:hAnsi="Calibri" w:cs="Times New Roman"/>
      <w:b/>
      <w:bCs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F41A48"/>
    <w:pPr>
      <w:spacing w:after="0" w:line="360" w:lineRule="exact"/>
    </w:pPr>
    <w:rPr>
      <w:rFonts w:ascii="Calibri" w:eastAsia="Times New Roman" w:hAnsi="Calibri" w:cs="Times New Roman"/>
      <w:lang w:eastAsia="cs-CZ"/>
    </w:rPr>
  </w:style>
  <w:style w:type="character" w:customStyle="1" w:styleId="Nadpis1Char">
    <w:name w:val="Nadpis 1 Char"/>
    <w:basedOn w:val="Standardnpsmoodstavce"/>
    <w:link w:val="Nadpis1"/>
    <w:rsid w:val="00F41A48"/>
    <w:rPr>
      <w:rFonts w:ascii="Calibri" w:eastAsia="Times New Roman" w:hAnsi="Calibri" w:cs="Tahoma"/>
      <w:b/>
      <w:bCs/>
      <w:color w:val="FF9900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rsid w:val="00F41A48"/>
    <w:rPr>
      <w:rFonts w:ascii="Calibri" w:eastAsia="Times New Roman" w:hAnsi="Calibri" w:cs="Tahoma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rsid w:val="00F41A48"/>
    <w:rPr>
      <w:rFonts w:ascii="Calibri" w:eastAsia="Times New Roman" w:hAnsi="Calibri" w:cs="Tahoma"/>
      <w:b/>
      <w:bCs/>
      <w:color w:val="000000" w:themeColor="text1"/>
      <w:sz w:val="32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rsid w:val="00F41A48"/>
    <w:rPr>
      <w:rFonts w:ascii="Calibri" w:eastAsia="Times New Roman" w:hAnsi="Calibri" w:cs="Times New Roman"/>
      <w:b/>
      <w:bCs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rsid w:val="00F41A48"/>
    <w:rPr>
      <w:rFonts w:ascii="Calibri" w:eastAsia="Times New Roman" w:hAnsi="Calibri" w:cs="Times New Roman"/>
      <w:bCs/>
      <w:iCs/>
      <w:sz w:val="26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rsid w:val="00F41A48"/>
    <w:rPr>
      <w:rFonts w:ascii="Calibri" w:eastAsia="Times New Roman" w:hAnsi="Calibri" w:cs="Times New Roman"/>
      <w:b/>
      <w:bCs/>
      <w:lang w:eastAsia="cs-CZ"/>
    </w:rPr>
  </w:style>
  <w:style w:type="character" w:customStyle="1" w:styleId="Nadpis7Char">
    <w:name w:val="Nadpis 7 Char"/>
    <w:basedOn w:val="Standardnpsmoodstavce"/>
    <w:link w:val="Nadpis7"/>
    <w:rsid w:val="00F41A48"/>
    <w:rPr>
      <w:rFonts w:ascii="Calibri" w:eastAsia="Times New Roman" w:hAnsi="Calibri" w:cs="Times New Roman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rsid w:val="00F41A48"/>
    <w:rPr>
      <w:rFonts w:ascii="Calibri" w:eastAsia="Times New Roman" w:hAnsi="Calibri" w:cs="Times New Roman"/>
      <w:iCs/>
      <w:sz w:val="24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rsid w:val="00F41A48"/>
    <w:rPr>
      <w:rFonts w:ascii="Calibri" w:eastAsia="Times New Roman" w:hAnsi="Calibri" w:cs="Arial"/>
      <w:lang w:eastAsia="cs-CZ"/>
    </w:rPr>
  </w:style>
  <w:style w:type="paragraph" w:customStyle="1" w:styleId="Dokumentodrka2">
    <w:name w:val="Dokument odrážka 2"/>
    <w:basedOn w:val="Normln"/>
    <w:rsid w:val="00F41A48"/>
    <w:pPr>
      <w:numPr>
        <w:numId w:val="2"/>
      </w:numPr>
      <w:spacing w:after="0" w:line="360" w:lineRule="exact"/>
      <w:jc w:val="both"/>
    </w:pPr>
    <w:rPr>
      <w:rFonts w:ascii="Calibri" w:eastAsia="Times New Roman" w:hAnsi="Calibri" w:cs="Times New Roman"/>
      <w:szCs w:val="28"/>
      <w:lang w:eastAsia="cs-CZ"/>
    </w:rPr>
  </w:style>
  <w:style w:type="paragraph" w:customStyle="1" w:styleId="Dokumenttextslovanseznam">
    <w:name w:val="Dokument text číslovaný seznam"/>
    <w:basedOn w:val="Normln"/>
    <w:next w:val="Normln"/>
    <w:qFormat/>
    <w:rsid w:val="00830F54"/>
    <w:pPr>
      <w:spacing w:after="120" w:line="288" w:lineRule="auto"/>
      <w:jc w:val="both"/>
    </w:pPr>
    <w:rPr>
      <w:rFonts w:ascii="Calibri" w:eastAsia="Times New Roman" w:hAnsi="Calibri" w:cs="Times New Roman"/>
      <w:color w:val="262626"/>
      <w:lang w:eastAsia="cs-CZ"/>
    </w:rPr>
  </w:style>
  <w:style w:type="paragraph" w:customStyle="1" w:styleId="Dokumentnadpisobrzek">
    <w:name w:val="Dokument nadpis obrázek"/>
    <w:basedOn w:val="Normln"/>
    <w:rsid w:val="00F43807"/>
    <w:pPr>
      <w:numPr>
        <w:numId w:val="4"/>
      </w:numPr>
      <w:tabs>
        <w:tab w:val="clear" w:pos="1004"/>
      </w:tabs>
      <w:spacing w:after="120" w:line="300" w:lineRule="exact"/>
      <w:ind w:left="1800" w:hanging="990"/>
      <w:jc w:val="both"/>
    </w:pPr>
    <w:rPr>
      <w:rFonts w:ascii="Calibri" w:eastAsia="Times New Roman" w:hAnsi="Calibri" w:cs="Times New Roman"/>
      <w:noProof/>
      <w:color w:val="262626"/>
      <w:sz w:val="20"/>
      <w:lang w:eastAsia="cs-CZ"/>
    </w:rPr>
  </w:style>
  <w:style w:type="paragraph" w:customStyle="1" w:styleId="Dokumentnadpistabulka">
    <w:name w:val="Dokument nadpis tabulka"/>
    <w:basedOn w:val="Dokumentnadpisobrzek"/>
    <w:next w:val="Normln"/>
    <w:rsid w:val="00F43807"/>
    <w:pPr>
      <w:numPr>
        <w:numId w:val="5"/>
      </w:numPr>
      <w:tabs>
        <w:tab w:val="left" w:pos="1800"/>
      </w:tabs>
      <w:ind w:left="1800" w:hanging="994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438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43807"/>
    <w:rPr>
      <w:rFonts w:ascii="Segoe UI" w:hAnsi="Segoe UI" w:cs="Segoe UI"/>
      <w:sz w:val="18"/>
      <w:szCs w:val="18"/>
    </w:rPr>
  </w:style>
  <w:style w:type="paragraph" w:customStyle="1" w:styleId="Dokumenttext">
    <w:name w:val="Dokument text"/>
    <w:basedOn w:val="Normln"/>
    <w:qFormat/>
    <w:rsid w:val="00F05C36"/>
    <w:pPr>
      <w:spacing w:after="120" w:line="300" w:lineRule="exact"/>
      <w:jc w:val="both"/>
    </w:pPr>
    <w:rPr>
      <w:rFonts w:ascii="Calibri" w:eastAsia="Times New Roman" w:hAnsi="Calibri" w:cs="Times New Roman"/>
      <w:color w:val="26262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FF69C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F69C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F69C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F69C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F69C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ielsen-admosphere.cz" TargetMode="External"/><Relationship Id="rId18" Type="http://schemas.openxmlformats.org/officeDocument/2006/relationships/hyperlink" Target="file:///\\192.168.0.2\documents\02-Company\03-PR\02-Tiskove%20zpravy%20-%20pracovni\01-CZ\2020\www.provyzkum.cz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linda.machova@admosphere.cz" TargetMode="External"/><Relationship Id="rId17" Type="http://schemas.openxmlformats.org/officeDocument/2006/relationships/image" Target="media/image4.png"/><Relationship Id="rId25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hyperlink" Target="file:///\\192.168.0.2\documents\02-Company\03-PR\02-Tiskove%20zpravy%20-%20pracovni\01-CZ\2020\www.ceskynarodnipanel.cz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ielsen-admosphere.c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ielsen-admosphere.cz" TargetMode="External"/><Relationship Id="rId10" Type="http://schemas.openxmlformats.org/officeDocument/2006/relationships/hyperlink" Target="mailto:eliska.morochovicova@admosphere.cz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C7C500-2668-41C2-9FB3-15920F731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1032</Words>
  <Characters>6095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Eliška Morochovičová</dc:creator>
  <cp:keywords/>
  <dc:description/>
  <cp:lastModifiedBy>Eliška Morochovičová</cp:lastModifiedBy>
  <cp:revision>2</cp:revision>
  <cp:lastPrinted>2020-02-13T09:57:00Z</cp:lastPrinted>
  <dcterms:created xsi:type="dcterms:W3CDTF">2021-06-17T08:39:00Z</dcterms:created>
  <dcterms:modified xsi:type="dcterms:W3CDTF">2021-06-17T08:39:00Z</dcterms:modified>
</cp:coreProperties>
</file>