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56E6" w14:textId="75DF9BBD" w:rsidR="00063A8B" w:rsidRPr="002E67F5" w:rsidRDefault="00C37FE0" w:rsidP="00F05C36">
      <w:pPr>
        <w:pStyle w:val="DokumentObsah"/>
        <w:rPr>
          <w:bCs/>
          <w:sz w:val="36"/>
          <w:szCs w:val="48"/>
        </w:rPr>
      </w:pPr>
      <w:r w:rsidRPr="002E67F5">
        <w:rPr>
          <w:bCs/>
          <w:sz w:val="36"/>
          <w:szCs w:val="48"/>
        </w:rPr>
        <w:t xml:space="preserve">Výzkum: Ve fast foodu jí </w:t>
      </w:r>
      <w:r w:rsidR="00A351A1" w:rsidRPr="002E67F5">
        <w:rPr>
          <w:bCs/>
          <w:sz w:val="36"/>
          <w:szCs w:val="48"/>
        </w:rPr>
        <w:t>několikrát</w:t>
      </w:r>
      <w:r w:rsidRPr="002E67F5">
        <w:rPr>
          <w:bCs/>
          <w:sz w:val="36"/>
          <w:szCs w:val="48"/>
        </w:rPr>
        <w:t xml:space="preserve"> měsíčně </w:t>
      </w:r>
      <w:r w:rsidR="00A351A1" w:rsidRPr="002E67F5">
        <w:rPr>
          <w:bCs/>
          <w:sz w:val="36"/>
          <w:szCs w:val="48"/>
        </w:rPr>
        <w:t>čtvrtina</w:t>
      </w:r>
      <w:r w:rsidRPr="002E67F5">
        <w:rPr>
          <w:bCs/>
          <w:sz w:val="36"/>
          <w:szCs w:val="48"/>
        </w:rPr>
        <w:t xml:space="preserve"> Čechů </w:t>
      </w:r>
      <w:r w:rsidRPr="002E67F5">
        <w:rPr>
          <w:bCs/>
          <w:sz w:val="36"/>
          <w:szCs w:val="48"/>
        </w:rPr>
        <w:br/>
      </w:r>
      <w:r w:rsidRPr="002E67F5">
        <w:rPr>
          <w:b w:val="0"/>
          <w:bCs/>
          <w:sz w:val="28"/>
          <w:szCs w:val="48"/>
        </w:rPr>
        <w:t xml:space="preserve">Největším </w:t>
      </w:r>
      <w:r w:rsidR="00484C83" w:rsidRPr="002E67F5">
        <w:rPr>
          <w:b w:val="0"/>
          <w:bCs/>
          <w:sz w:val="28"/>
          <w:szCs w:val="48"/>
        </w:rPr>
        <w:t>inzerentem</w:t>
      </w:r>
      <w:r w:rsidRPr="002E67F5">
        <w:rPr>
          <w:b w:val="0"/>
          <w:bCs/>
          <w:sz w:val="28"/>
          <w:szCs w:val="48"/>
        </w:rPr>
        <w:t xml:space="preserve"> segmentu bylo od začátku roku KFC</w:t>
      </w:r>
      <w:r w:rsidR="00D61D04" w:rsidRPr="002E67F5">
        <w:rPr>
          <w:b w:val="0"/>
          <w:bCs/>
          <w:sz w:val="28"/>
          <w:szCs w:val="48"/>
        </w:rPr>
        <w:t xml:space="preserve"> </w:t>
      </w:r>
    </w:p>
    <w:p w14:paraId="10799059" w14:textId="63C0F06B" w:rsidR="002E02F1" w:rsidRPr="002E67F5" w:rsidRDefault="00C37FE0" w:rsidP="00FD64E7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2E67F5">
        <w:rPr>
          <w:rFonts w:ascii="Calibri" w:hAnsi="Calibri" w:cs="Tahoma"/>
          <w:b/>
          <w:bCs/>
          <w:i/>
          <w:noProof/>
          <w:color w:val="000000" w:themeColor="text1"/>
        </w:rPr>
        <w:t>Jen 13 % Čechů</w:t>
      </w:r>
      <w:r w:rsidR="00A351A1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 nikdy </w:t>
      </w:r>
      <w:r w:rsidR="00353D02">
        <w:rPr>
          <w:rFonts w:ascii="Calibri" w:hAnsi="Calibri" w:cs="Tahoma"/>
          <w:b/>
          <w:bCs/>
          <w:i/>
          <w:noProof/>
          <w:color w:val="000000" w:themeColor="text1"/>
        </w:rPr>
        <w:t>nechodí</w:t>
      </w:r>
      <w:r w:rsidR="00A351A1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do restaurací a bister s rychlým občerstvením. </w:t>
      </w:r>
      <w:r w:rsidR="00F27620" w:rsidRPr="002E67F5">
        <w:rPr>
          <w:rFonts w:ascii="Calibri" w:hAnsi="Calibri" w:cs="Tahoma"/>
          <w:b/>
          <w:bCs/>
          <w:i/>
          <w:noProof/>
          <w:color w:val="000000" w:themeColor="text1"/>
        </w:rPr>
        <w:t>10</w:t>
      </w:r>
      <w:r w:rsidR="00A351A1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 % se tam naopak stravuje minimálně jednou týdně, dalších </w:t>
      </w:r>
      <w:r w:rsidR="00F27620" w:rsidRPr="002E67F5">
        <w:rPr>
          <w:rFonts w:ascii="Calibri" w:hAnsi="Calibri" w:cs="Tahoma"/>
          <w:b/>
          <w:bCs/>
          <w:i/>
          <w:noProof/>
          <w:color w:val="000000" w:themeColor="text1"/>
        </w:rPr>
        <w:t>16</w:t>
      </w:r>
      <w:r w:rsidR="00A351A1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 % pak několikrát za měsíc. </w:t>
      </w:r>
      <w:r w:rsidR="009A5986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Nejčastěji se lidé rozhodují pro jídlo ve fast foodu spontánně, tedy například když jdou okolo a mají hlad nebo na něco chuť. Srovnatelně silným důvodem pro stravování v těchto zařízeních je ale také jejich rychlý servis. </w:t>
      </w:r>
      <w:r w:rsidR="00484C83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Jako hlavní negativum těchto zařízení vnímají jejich zákazníci nezdravé jídlo. </w:t>
      </w:r>
      <w:r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Na špičce nejoblíbenějších fast foodů jsou v Česku řetězce KFC a McDonald’s. </w:t>
      </w:r>
    </w:p>
    <w:p w14:paraId="79ECD243" w14:textId="6ED27317" w:rsidR="00F22905" w:rsidRPr="002E67F5" w:rsidRDefault="002E67F5" w:rsidP="00FD64E7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ACF0F49" wp14:editId="44E69D7E">
            <wp:simplePos x="0" y="0"/>
            <wp:positionH relativeFrom="margin">
              <wp:align>center</wp:align>
            </wp:positionH>
            <wp:positionV relativeFrom="paragraph">
              <wp:posOffset>1102995</wp:posOffset>
            </wp:positionV>
            <wp:extent cx="5187950" cy="5194300"/>
            <wp:effectExtent l="0" t="0" r="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A1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Výzkum realizovala agentura Nielsen Admosphere metodou online sběru dat na vzorku pěti set respondentů z internetové populace Českého národního panelu. </w:t>
      </w:r>
      <w:r w:rsidR="00F22905" w:rsidRPr="002E67F5">
        <w:rPr>
          <w:rFonts w:ascii="Calibri" w:hAnsi="Calibri" w:cs="Tahoma"/>
          <w:b/>
          <w:bCs/>
          <w:i/>
          <w:noProof/>
          <w:color w:val="000000" w:themeColor="text1"/>
        </w:rPr>
        <w:t>Doplnění k výzkumu představují data z monitoringu reklamy Nielsen Admosph</w:t>
      </w:r>
      <w:r w:rsidR="002E02F1" w:rsidRPr="002E67F5">
        <w:rPr>
          <w:rFonts w:ascii="Calibri" w:hAnsi="Calibri" w:cs="Tahoma"/>
          <w:b/>
          <w:bCs/>
          <w:i/>
          <w:noProof/>
          <w:color w:val="000000" w:themeColor="text1"/>
        </w:rPr>
        <w:t xml:space="preserve">ere v segmentu </w:t>
      </w:r>
      <w:r w:rsidR="00A351A1" w:rsidRPr="002E67F5">
        <w:rPr>
          <w:rFonts w:ascii="Calibri" w:hAnsi="Calibri" w:cs="Tahoma"/>
          <w:b/>
          <w:bCs/>
          <w:i/>
          <w:noProof/>
          <w:color w:val="000000" w:themeColor="text1"/>
        </w:rPr>
        <w:t>fast foodů, podle nichž v období leden-srpen 2020 nejvíce inzerovalo KFC.</w:t>
      </w:r>
    </w:p>
    <w:p w14:paraId="135C4DD4" w14:textId="69EAEDAA" w:rsidR="009A5986" w:rsidRPr="002E67F5" w:rsidRDefault="00A351A1" w:rsidP="00FD64E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2E67F5">
        <w:rPr>
          <w:rFonts w:ascii="Calibri" w:hAnsi="Calibri" w:cs="Tahoma"/>
          <w:bCs/>
          <w:noProof/>
          <w:color w:val="000000" w:themeColor="text1"/>
        </w:rPr>
        <w:lastRenderedPageBreak/>
        <w:t xml:space="preserve">Fast foody mají v Česku poměrně silnou pozici, </w:t>
      </w:r>
      <w:r w:rsidRPr="002E67F5">
        <w:rPr>
          <w:rFonts w:ascii="Calibri" w:hAnsi="Calibri" w:cs="Tahoma"/>
          <w:b/>
          <w:bCs/>
          <w:noProof/>
          <w:color w:val="000000" w:themeColor="text1"/>
        </w:rPr>
        <w:t xml:space="preserve">v dnešní době se v nich stravuje </w:t>
      </w:r>
      <w:r w:rsidR="00353D02">
        <w:rPr>
          <w:rFonts w:ascii="Calibri" w:hAnsi="Calibri" w:cs="Tahoma"/>
          <w:b/>
          <w:bCs/>
          <w:noProof/>
          <w:color w:val="000000" w:themeColor="text1"/>
        </w:rPr>
        <w:t>26 % lidí vícekrát za </w:t>
      </w:r>
      <w:r w:rsidR="00F27620" w:rsidRPr="002E67F5">
        <w:rPr>
          <w:rFonts w:ascii="Calibri" w:hAnsi="Calibri" w:cs="Tahoma"/>
          <w:b/>
          <w:bCs/>
          <w:noProof/>
          <w:color w:val="000000" w:themeColor="text1"/>
        </w:rPr>
        <w:t>měsíc</w:t>
      </w:r>
      <w:r w:rsidR="00F27620" w:rsidRPr="002E67F5">
        <w:rPr>
          <w:rFonts w:ascii="Calibri" w:hAnsi="Calibri" w:cs="Tahoma"/>
          <w:bCs/>
          <w:noProof/>
          <w:color w:val="000000" w:themeColor="text1"/>
        </w:rPr>
        <w:t xml:space="preserve"> (10 % jednou týdně a častěji, 16 % několikrát za měsíc). O něco více než pětina respondentů pak chodí do zařízení s rychlým občerstvením jednou za měsíc a skoro dvě pětiny méně často. Častěji do fast foodů zavítají mladší věkové skupiny, tedy respondenti ve věku 15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>–</w:t>
      </w:r>
      <w:r w:rsidR="0033358C" w:rsidRPr="002E67F5">
        <w:rPr>
          <w:rFonts w:ascii="Calibri" w:hAnsi="Calibri" w:cs="Tahoma"/>
          <w:bCs/>
          <w:noProof/>
          <w:color w:val="000000" w:themeColor="text1"/>
        </w:rPr>
        <w:t>34 let, a také respondenti žijící ve městech oproti obyvatelům vesnic.</w:t>
      </w:r>
      <w:r w:rsidR="00F27620" w:rsidRPr="002E67F5">
        <w:rPr>
          <w:rFonts w:ascii="Calibri" w:hAnsi="Calibri" w:cs="Tahoma"/>
          <w:bCs/>
          <w:noProof/>
          <w:color w:val="000000" w:themeColor="text1"/>
        </w:rPr>
        <w:t xml:space="preserve"> Věková skupina nad 45 let naopak vyniká </w:t>
      </w:r>
      <w:r w:rsidR="00FA5CA7" w:rsidRPr="002E67F5">
        <w:rPr>
          <w:rFonts w:ascii="Calibri" w:hAnsi="Calibri" w:cs="Tahoma"/>
          <w:bCs/>
          <w:noProof/>
          <w:color w:val="000000" w:themeColor="text1"/>
        </w:rPr>
        <w:t>počtem</w:t>
      </w:r>
      <w:r w:rsidR="00F27620" w:rsidRPr="002E67F5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FA5CA7" w:rsidRPr="002E67F5">
        <w:rPr>
          <w:rFonts w:ascii="Calibri" w:hAnsi="Calibri" w:cs="Tahoma"/>
          <w:bCs/>
          <w:noProof/>
          <w:color w:val="000000" w:themeColor="text1"/>
        </w:rPr>
        <w:t xml:space="preserve">těch, kteří se ve fast foodu nestravují nikdy: je jich čtvrtina, zatímco </w:t>
      </w:r>
      <w:r w:rsidR="00353D02">
        <w:rPr>
          <w:rFonts w:ascii="Calibri" w:hAnsi="Calibri" w:cs="Tahoma"/>
          <w:bCs/>
          <w:noProof/>
          <w:color w:val="000000" w:themeColor="text1"/>
        </w:rPr>
        <w:t>v mladších skupinách</w:t>
      </w:r>
      <w:r w:rsidR="00FA5CA7" w:rsidRPr="002E67F5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353D02">
        <w:rPr>
          <w:rFonts w:ascii="Calibri" w:hAnsi="Calibri" w:cs="Tahoma"/>
          <w:bCs/>
          <w:noProof/>
          <w:color w:val="000000" w:themeColor="text1"/>
        </w:rPr>
        <w:t>je takových respondentů</w:t>
      </w:r>
      <w:r w:rsidR="00FA5CA7" w:rsidRPr="002E67F5">
        <w:rPr>
          <w:rFonts w:ascii="Calibri" w:hAnsi="Calibri" w:cs="Tahoma"/>
          <w:bCs/>
          <w:noProof/>
          <w:color w:val="000000" w:themeColor="text1"/>
        </w:rPr>
        <w:t xml:space="preserve"> zanedbatelné procento.</w:t>
      </w:r>
      <w:r w:rsidR="00F27620" w:rsidRPr="002E67F5">
        <w:rPr>
          <w:rFonts w:ascii="Calibri" w:hAnsi="Calibri" w:cs="Tahoma"/>
          <w:bCs/>
          <w:noProof/>
          <w:color w:val="000000" w:themeColor="text1"/>
        </w:rPr>
        <w:t xml:space="preserve"> </w:t>
      </w:r>
    </w:p>
    <w:p w14:paraId="6B9691BA" w14:textId="0A8CD012" w:rsidR="005753D1" w:rsidRPr="002E67F5" w:rsidRDefault="00FA5CA7" w:rsidP="00FD64E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2E67F5">
        <w:rPr>
          <w:rFonts w:ascii="Calibri" w:hAnsi="Calibri" w:cs="Tahoma"/>
          <w:bCs/>
          <w:noProof/>
          <w:color w:val="000000" w:themeColor="text1"/>
        </w:rPr>
        <w:t xml:space="preserve">Když se měli ti dotázaní, kteří do fast foodů alespoň někdy chodí, zamyslet nad důvody, proč tak dělají, zmiňovali nejčastěji, že jde o </w:t>
      </w:r>
      <w:r w:rsidRPr="002E67F5">
        <w:rPr>
          <w:rFonts w:ascii="Calibri" w:hAnsi="Calibri" w:cs="Tahoma"/>
          <w:b/>
          <w:bCs/>
          <w:noProof/>
          <w:color w:val="000000" w:themeColor="text1"/>
        </w:rPr>
        <w:t>spontánní zastavení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 xml:space="preserve">, tedy </w:t>
      </w:r>
      <w:r w:rsidRPr="002E67F5">
        <w:rPr>
          <w:rFonts w:ascii="Calibri" w:hAnsi="Calibri" w:cs="Tahoma"/>
          <w:bCs/>
          <w:noProof/>
          <w:color w:val="000000" w:themeColor="text1"/>
        </w:rPr>
        <w:t xml:space="preserve">jdou 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 xml:space="preserve">zrovna </w:t>
      </w:r>
      <w:r w:rsidR="00353D02">
        <w:rPr>
          <w:rFonts w:ascii="Calibri" w:hAnsi="Calibri" w:cs="Tahoma"/>
          <w:bCs/>
          <w:noProof/>
          <w:color w:val="000000" w:themeColor="text1"/>
        </w:rPr>
        <w:t>okolo a mají hlad nebo chuť na </w:t>
      </w:r>
      <w:r w:rsidRPr="002E67F5">
        <w:rPr>
          <w:rFonts w:ascii="Calibri" w:hAnsi="Calibri" w:cs="Tahoma"/>
          <w:bCs/>
          <w:noProof/>
          <w:color w:val="000000" w:themeColor="text1"/>
        </w:rPr>
        <w:t xml:space="preserve">jídlo (46 %). Srovnatelné procento (45 %) tam chodí kvůli </w:t>
      </w:r>
      <w:r w:rsidRPr="002E67F5">
        <w:rPr>
          <w:rFonts w:ascii="Calibri" w:hAnsi="Calibri" w:cs="Tahoma"/>
          <w:b/>
          <w:bCs/>
          <w:noProof/>
          <w:color w:val="000000" w:themeColor="text1"/>
        </w:rPr>
        <w:t>rychlému servisu</w:t>
      </w:r>
      <w:r w:rsidRPr="002E67F5">
        <w:rPr>
          <w:rFonts w:ascii="Calibri" w:hAnsi="Calibri" w:cs="Tahoma"/>
          <w:bCs/>
          <w:noProof/>
          <w:color w:val="000000" w:themeColor="text1"/>
        </w:rPr>
        <w:t xml:space="preserve">. Obě tyto tendence jsou o něco patrnější u žen než u mužů. Pro více než čtvrtinu (27 %) fast food představuje záruku známého jídla (například během cestování), což je zase silnější důvod u mužů. Čtvrtina respondentů uváděla, že do fast foodů chodí kvůli chutnému jídlu, další čtvrtina pak kvůli dostupnosti. </w:t>
      </w:r>
    </w:p>
    <w:p w14:paraId="586E6059" w14:textId="4623A34C" w:rsidR="00FA5CA7" w:rsidRPr="002E67F5" w:rsidRDefault="00FA5CA7" w:rsidP="00FD64E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2E67F5">
        <w:rPr>
          <w:rFonts w:ascii="Calibri" w:hAnsi="Calibri" w:cs="Tahoma"/>
          <w:b/>
          <w:bCs/>
          <w:noProof/>
          <w:color w:val="000000" w:themeColor="text1"/>
        </w:rPr>
        <w:t>Poměrně vysoké procento návštěvníků fast foodů</w:t>
      </w:r>
      <w:r w:rsidR="00EB339F" w:rsidRPr="002E67F5">
        <w:rPr>
          <w:rFonts w:ascii="Calibri" w:hAnsi="Calibri" w:cs="Tahoma"/>
          <w:b/>
          <w:bCs/>
          <w:noProof/>
          <w:color w:val="000000" w:themeColor="text1"/>
        </w:rPr>
        <w:t xml:space="preserve"> (84 %)</w:t>
      </w:r>
      <w:r w:rsidRPr="002E67F5">
        <w:rPr>
          <w:rFonts w:ascii="Calibri" w:hAnsi="Calibri" w:cs="Tahoma"/>
          <w:b/>
          <w:bCs/>
          <w:noProof/>
          <w:color w:val="000000" w:themeColor="text1"/>
        </w:rPr>
        <w:t xml:space="preserve"> si však zároveň u</w:t>
      </w:r>
      <w:r w:rsidR="00EB339F" w:rsidRPr="002E67F5">
        <w:rPr>
          <w:rFonts w:ascii="Calibri" w:hAnsi="Calibri" w:cs="Tahoma"/>
          <w:b/>
          <w:bCs/>
          <w:noProof/>
          <w:color w:val="000000" w:themeColor="text1"/>
        </w:rPr>
        <w:t>vědomuje jejich negativa.</w:t>
      </w:r>
      <w:r w:rsidR="00EB339F" w:rsidRPr="002E67F5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>Z</w:t>
      </w:r>
      <w:r w:rsidR="00EB339F" w:rsidRPr="002E67F5">
        <w:rPr>
          <w:rFonts w:ascii="Calibri" w:hAnsi="Calibri" w:cs="Tahoma"/>
          <w:bCs/>
          <w:noProof/>
          <w:color w:val="000000" w:themeColor="text1"/>
        </w:rPr>
        <w:t xml:space="preserve">a největší 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 xml:space="preserve">mínus </w:t>
      </w:r>
      <w:r w:rsidR="00EB339F" w:rsidRPr="002E67F5">
        <w:rPr>
          <w:rFonts w:ascii="Calibri" w:hAnsi="Calibri" w:cs="Tahoma"/>
          <w:bCs/>
          <w:noProof/>
          <w:color w:val="000000" w:themeColor="text1"/>
        </w:rPr>
        <w:t>považují nezdravé jídlo (55 %). Na druhém místě dotázaným vadí vysoká produkce plastových odpadů (37 %) a na třetím velké množství lidí (35 %). Nezanedbatelnými negativy jsou také kultura stravování, která mimo jiné vybízí ke konzumaci ve spěchu (25 %), nebo nekvalitní jídlo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>, respektive</w:t>
      </w:r>
      <w:r w:rsidR="00EB339F" w:rsidRPr="002E67F5">
        <w:rPr>
          <w:rFonts w:ascii="Calibri" w:hAnsi="Calibri" w:cs="Tahoma"/>
          <w:bCs/>
          <w:noProof/>
          <w:color w:val="000000" w:themeColor="text1"/>
        </w:rPr>
        <w:t xml:space="preserve"> jeho nižší výživová hodnota (23 %).</w:t>
      </w:r>
    </w:p>
    <w:p w14:paraId="585CA0E1" w14:textId="41F6BD87" w:rsidR="00EB339F" w:rsidRPr="002E67F5" w:rsidRDefault="00EB339F" w:rsidP="00FD64E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353D02">
        <w:rPr>
          <w:rFonts w:ascii="Calibri" w:hAnsi="Calibri" w:cs="Tahoma"/>
          <w:b/>
          <w:bCs/>
          <w:noProof/>
          <w:color w:val="000000" w:themeColor="text1"/>
        </w:rPr>
        <w:t>Nejčastěji se dotázaní zastaví ve fast foodu na oběd (56 %)</w:t>
      </w:r>
      <w:r w:rsidRPr="002E67F5">
        <w:rPr>
          <w:rFonts w:ascii="Calibri" w:hAnsi="Calibri" w:cs="Tahoma"/>
          <w:bCs/>
          <w:noProof/>
          <w:color w:val="000000" w:themeColor="text1"/>
        </w:rPr>
        <w:t xml:space="preserve">. Poměrně časté jsou ale také koupě svačin či nejrůznějších pochoutek (39 %) i večeře (35 %). </w:t>
      </w:r>
      <w:r w:rsidR="0033358C" w:rsidRPr="002E67F5">
        <w:rPr>
          <w:rFonts w:ascii="Calibri" w:hAnsi="Calibri" w:cs="Tahoma"/>
          <w:bCs/>
          <w:noProof/>
          <w:color w:val="000000" w:themeColor="text1"/>
        </w:rPr>
        <w:t>Zajímavostí je, že koupě večeře v těchto zařízeních je</w:t>
      </w:r>
      <w:r w:rsidR="006B504B" w:rsidRPr="002E67F5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33358C" w:rsidRPr="002E67F5">
        <w:rPr>
          <w:rFonts w:ascii="Calibri" w:hAnsi="Calibri" w:cs="Tahoma"/>
          <w:bCs/>
          <w:noProof/>
          <w:color w:val="000000" w:themeColor="text1"/>
        </w:rPr>
        <w:t>běžnější pro obyvatele</w:t>
      </w:r>
      <w:r w:rsidR="006B504B" w:rsidRPr="002E67F5">
        <w:rPr>
          <w:rFonts w:ascii="Calibri" w:hAnsi="Calibri" w:cs="Tahoma"/>
          <w:bCs/>
          <w:noProof/>
          <w:color w:val="000000" w:themeColor="text1"/>
        </w:rPr>
        <w:t xml:space="preserve"> velkých měst než obyvatele vesnic. </w:t>
      </w:r>
      <w:r w:rsidRPr="002E67F5">
        <w:rPr>
          <w:rFonts w:ascii="Calibri" w:hAnsi="Calibri" w:cs="Tahoma"/>
          <w:bCs/>
          <w:noProof/>
          <w:color w:val="000000" w:themeColor="text1"/>
        </w:rPr>
        <w:t>Na snídani chodí do fast foodů zatím jenom 7 % dotázaných.</w:t>
      </w:r>
    </w:p>
    <w:p w14:paraId="5C1E9738" w14:textId="140E26A4" w:rsidR="00EB339F" w:rsidRPr="002E67F5" w:rsidRDefault="00EB339F" w:rsidP="00FD64E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2E67F5">
        <w:rPr>
          <w:rFonts w:ascii="Calibri" w:hAnsi="Calibri" w:cs="Tahoma"/>
          <w:bCs/>
          <w:noProof/>
          <w:color w:val="000000" w:themeColor="text1"/>
        </w:rPr>
        <w:t>Co se týče výběru mezi st</w:t>
      </w:r>
      <w:r w:rsidR="00353D02">
        <w:rPr>
          <w:rFonts w:ascii="Calibri" w:hAnsi="Calibri" w:cs="Tahoma"/>
          <w:bCs/>
          <w:noProof/>
          <w:color w:val="000000" w:themeColor="text1"/>
        </w:rPr>
        <w:t>ravováním přímo v restauraci/</w:t>
      </w:r>
      <w:r w:rsidRPr="002E67F5">
        <w:rPr>
          <w:rFonts w:ascii="Calibri" w:hAnsi="Calibri" w:cs="Tahoma"/>
          <w:bCs/>
          <w:noProof/>
          <w:color w:val="000000" w:themeColor="text1"/>
        </w:rPr>
        <w:t>bistru s rychlým občerstvením</w:t>
      </w:r>
      <w:bookmarkStart w:id="0" w:name="_GoBack"/>
      <w:bookmarkEnd w:id="0"/>
      <w:r w:rsidRPr="002E67F5">
        <w:rPr>
          <w:rFonts w:ascii="Calibri" w:hAnsi="Calibri" w:cs="Tahoma"/>
          <w:bCs/>
          <w:noProof/>
          <w:color w:val="000000" w:themeColor="text1"/>
        </w:rPr>
        <w:t xml:space="preserve"> nebo koupí s sebou, </w:t>
      </w:r>
      <w:r w:rsidR="00484C83" w:rsidRPr="002E67F5">
        <w:rPr>
          <w:rFonts w:ascii="Calibri" w:hAnsi="Calibri" w:cs="Tahoma"/>
          <w:b/>
          <w:bCs/>
          <w:noProof/>
          <w:color w:val="000000" w:themeColor="text1"/>
        </w:rPr>
        <w:t>převažuje u</w:t>
      </w:r>
      <w:r w:rsidRPr="002E67F5">
        <w:rPr>
          <w:rFonts w:ascii="Calibri" w:hAnsi="Calibri" w:cs="Tahoma"/>
          <w:b/>
          <w:bCs/>
          <w:noProof/>
          <w:color w:val="000000" w:themeColor="text1"/>
        </w:rPr>
        <w:t xml:space="preserve"> 24 % </w:t>
      </w:r>
      <w:r w:rsidR="00484C83" w:rsidRPr="002E67F5">
        <w:rPr>
          <w:rFonts w:ascii="Calibri" w:hAnsi="Calibri" w:cs="Tahoma"/>
          <w:b/>
          <w:bCs/>
          <w:noProof/>
          <w:color w:val="000000" w:themeColor="text1"/>
        </w:rPr>
        <w:t>koupě</w:t>
      </w:r>
      <w:r w:rsidRPr="002E67F5">
        <w:rPr>
          <w:rFonts w:ascii="Calibri" w:hAnsi="Calibri" w:cs="Tahoma"/>
          <w:b/>
          <w:bCs/>
          <w:noProof/>
          <w:color w:val="000000" w:themeColor="text1"/>
        </w:rPr>
        <w:t xml:space="preserve"> s sebou, tedy konzumac</w:t>
      </w:r>
      <w:r w:rsidR="00FC5AAD" w:rsidRPr="002E67F5">
        <w:rPr>
          <w:rFonts w:ascii="Calibri" w:hAnsi="Calibri" w:cs="Tahoma"/>
          <w:b/>
          <w:bCs/>
          <w:noProof/>
          <w:color w:val="000000" w:themeColor="text1"/>
        </w:rPr>
        <w:t>e</w:t>
      </w:r>
      <w:r w:rsidRPr="002E67F5">
        <w:rPr>
          <w:rFonts w:ascii="Calibri" w:hAnsi="Calibri" w:cs="Tahoma"/>
          <w:b/>
          <w:bCs/>
          <w:noProof/>
          <w:color w:val="000000" w:themeColor="text1"/>
        </w:rPr>
        <w:t xml:space="preserve"> mimo restauraci</w:t>
      </w:r>
      <w:r w:rsidRPr="002E67F5">
        <w:rPr>
          <w:rFonts w:ascii="Calibri" w:hAnsi="Calibri" w:cs="Tahoma"/>
          <w:bCs/>
          <w:noProof/>
          <w:color w:val="000000" w:themeColor="text1"/>
        </w:rPr>
        <w:t xml:space="preserve">. Velmi podobné procento ale jídlo jí </w:t>
      </w:r>
      <w:r w:rsidR="00FC5AAD" w:rsidRPr="002E67F5">
        <w:rPr>
          <w:rFonts w:ascii="Calibri" w:hAnsi="Calibri" w:cs="Tahoma"/>
          <w:bCs/>
          <w:noProof/>
          <w:color w:val="000000" w:themeColor="text1"/>
        </w:rPr>
        <w:t xml:space="preserve">převážně </w:t>
      </w:r>
      <w:r w:rsidRPr="002E67F5">
        <w:rPr>
          <w:rFonts w:ascii="Calibri" w:hAnsi="Calibri" w:cs="Tahoma"/>
          <w:bCs/>
          <w:noProof/>
          <w:color w:val="000000" w:themeColor="text1"/>
        </w:rPr>
        <w:t>na místě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 xml:space="preserve"> (22 %)</w:t>
      </w:r>
      <w:r w:rsidRPr="002E67F5">
        <w:rPr>
          <w:rFonts w:ascii="Calibri" w:hAnsi="Calibri" w:cs="Tahoma"/>
          <w:bCs/>
          <w:noProof/>
          <w:color w:val="000000" w:themeColor="text1"/>
        </w:rPr>
        <w:t xml:space="preserve">. Ostatní (54 %) 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 xml:space="preserve">sní </w:t>
      </w:r>
      <w:r w:rsidRPr="002E67F5">
        <w:rPr>
          <w:rFonts w:ascii="Calibri" w:hAnsi="Calibri" w:cs="Tahoma"/>
          <w:bCs/>
          <w:noProof/>
          <w:color w:val="000000" w:themeColor="text1"/>
        </w:rPr>
        <w:t>někdy jídlo přímo v restauraci a jindy si ho koupí s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> </w:t>
      </w:r>
      <w:r w:rsidRPr="002E67F5">
        <w:rPr>
          <w:rFonts w:ascii="Calibri" w:hAnsi="Calibri" w:cs="Tahoma"/>
          <w:bCs/>
          <w:noProof/>
          <w:color w:val="000000" w:themeColor="text1"/>
        </w:rPr>
        <w:t>sebou</w:t>
      </w:r>
      <w:r w:rsidR="00484C83" w:rsidRPr="002E67F5">
        <w:rPr>
          <w:rFonts w:ascii="Calibri" w:hAnsi="Calibri" w:cs="Tahoma"/>
          <w:bCs/>
          <w:noProof/>
          <w:color w:val="000000" w:themeColor="text1"/>
        </w:rPr>
        <w:t xml:space="preserve"> – ani jedna z variant tedy u nich významněji </w:t>
      </w:r>
      <w:r w:rsidR="00FC5AAD" w:rsidRPr="002E67F5">
        <w:rPr>
          <w:rFonts w:ascii="Calibri" w:hAnsi="Calibri" w:cs="Tahoma"/>
          <w:bCs/>
          <w:noProof/>
          <w:color w:val="000000" w:themeColor="text1"/>
        </w:rPr>
        <w:t>nepřevládá</w:t>
      </w:r>
      <w:r w:rsidRPr="002E67F5">
        <w:rPr>
          <w:rFonts w:ascii="Calibri" w:hAnsi="Calibri" w:cs="Tahoma"/>
          <w:bCs/>
          <w:noProof/>
          <w:color w:val="000000" w:themeColor="text1"/>
        </w:rPr>
        <w:t>.</w:t>
      </w:r>
    </w:p>
    <w:p w14:paraId="341B6538" w14:textId="448062E7" w:rsidR="00FB08E1" w:rsidRPr="002E67F5" w:rsidRDefault="00EB339F" w:rsidP="00FD64E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 w:rsidRPr="002E67F5">
        <w:rPr>
          <w:rFonts w:ascii="Calibri" w:hAnsi="Calibri" w:cs="Tahoma"/>
          <w:bCs/>
          <w:noProof/>
          <w:color w:val="000000" w:themeColor="text1"/>
        </w:rPr>
        <w:t xml:space="preserve">Restaurací a bister s rychlým občerstvením už jsou dnes v Česku desítky. </w:t>
      </w:r>
      <w:r w:rsidR="00FB08E1" w:rsidRPr="002E67F5">
        <w:rPr>
          <w:rFonts w:ascii="Calibri" w:hAnsi="Calibri" w:cs="Tahoma"/>
          <w:b/>
          <w:bCs/>
          <w:noProof/>
          <w:color w:val="000000" w:themeColor="text1"/>
        </w:rPr>
        <w:t>Nejoblíbenější je podle výsledků výzkumu Nielsen Admosphere KFC (zmínilo ho 55 %</w:t>
      </w:r>
      <w:r w:rsidR="00FC5AAD" w:rsidRPr="002E67F5">
        <w:rPr>
          <w:rFonts w:ascii="Calibri" w:hAnsi="Calibri" w:cs="Tahoma"/>
          <w:b/>
          <w:bCs/>
          <w:noProof/>
          <w:color w:val="000000" w:themeColor="text1"/>
        </w:rPr>
        <w:t xml:space="preserve"> dotázaných</w:t>
      </w:r>
      <w:r w:rsidR="00FB08E1" w:rsidRPr="002E67F5">
        <w:rPr>
          <w:rFonts w:ascii="Calibri" w:hAnsi="Calibri" w:cs="Tahoma"/>
          <w:b/>
          <w:bCs/>
          <w:noProof/>
          <w:color w:val="000000" w:themeColor="text1"/>
        </w:rPr>
        <w:t>)</w:t>
      </w:r>
      <w:r w:rsidR="00FB08E1" w:rsidRPr="002E67F5">
        <w:rPr>
          <w:rFonts w:ascii="Calibri" w:hAnsi="Calibri" w:cs="Tahoma"/>
          <w:bCs/>
          <w:noProof/>
          <w:color w:val="000000" w:themeColor="text1"/>
        </w:rPr>
        <w:t>, na druhém místě je řetězec McDonald’s (50 %). N</w:t>
      </w:r>
      <w:r w:rsidR="00FC5AAD" w:rsidRPr="002E67F5">
        <w:rPr>
          <w:rFonts w:ascii="Calibri" w:hAnsi="Calibri" w:cs="Tahoma"/>
          <w:bCs/>
          <w:noProof/>
          <w:color w:val="000000" w:themeColor="text1"/>
        </w:rPr>
        <w:t>a třetí</w:t>
      </w:r>
      <w:r w:rsidR="00FB08E1" w:rsidRPr="002E67F5">
        <w:rPr>
          <w:rFonts w:ascii="Calibri" w:hAnsi="Calibri" w:cs="Tahoma"/>
          <w:bCs/>
          <w:noProof/>
          <w:color w:val="000000" w:themeColor="text1"/>
        </w:rPr>
        <w:t xml:space="preserve"> </w:t>
      </w:r>
      <w:r w:rsidR="00FC5AAD" w:rsidRPr="002E67F5">
        <w:rPr>
          <w:rFonts w:ascii="Calibri" w:hAnsi="Calibri" w:cs="Tahoma"/>
          <w:bCs/>
          <w:noProof/>
          <w:color w:val="000000" w:themeColor="text1"/>
        </w:rPr>
        <w:t>pozici</w:t>
      </w:r>
      <w:r w:rsidR="00FB08E1" w:rsidRPr="002E67F5">
        <w:rPr>
          <w:rFonts w:ascii="Calibri" w:hAnsi="Calibri" w:cs="Tahoma"/>
          <w:bCs/>
          <w:noProof/>
          <w:color w:val="000000" w:themeColor="text1"/>
        </w:rPr>
        <w:t xml:space="preserve"> je s výrazným odstupem síť s občerstvením Döner Kebab (</w:t>
      </w:r>
      <w:r w:rsidR="00FC5AAD" w:rsidRPr="002E67F5">
        <w:rPr>
          <w:rFonts w:ascii="Calibri" w:hAnsi="Calibri" w:cs="Tahoma"/>
          <w:bCs/>
          <w:noProof/>
          <w:color w:val="000000" w:themeColor="text1"/>
        </w:rPr>
        <w:t>23 </w:t>
      </w:r>
      <w:r w:rsidR="00FB08E1" w:rsidRPr="002E67F5">
        <w:rPr>
          <w:rFonts w:ascii="Calibri" w:hAnsi="Calibri" w:cs="Tahoma"/>
          <w:bCs/>
          <w:noProof/>
          <w:color w:val="000000" w:themeColor="text1"/>
        </w:rPr>
        <w:t>%). Čtvrté místo patří Burger Kingu (15 %) a páté Bageterii Boulevard (14 %).</w:t>
      </w:r>
      <w:r w:rsidR="0033358C" w:rsidRPr="002E67F5">
        <w:rPr>
          <w:rFonts w:ascii="Calibri" w:hAnsi="Calibri" w:cs="Tahoma"/>
          <w:bCs/>
          <w:noProof/>
          <w:color w:val="000000" w:themeColor="text1"/>
        </w:rPr>
        <w:t xml:space="preserve"> Větší tendenci k preferenci určitých fast food řetězců mají obecně obyvatelé velkých měst. Žádný oblíbený fast food řetězec nemá 12 % respondentů. 10 % pak dává před řetězci přednost stánkům s fast food občerstvením, které patří menším/lokálním firmám. </w:t>
      </w:r>
    </w:p>
    <w:p w14:paraId="3209DFE8" w14:textId="12DB167C" w:rsidR="00FB08E1" w:rsidRDefault="002E67F5" w:rsidP="00FD64E7">
      <w:pPr>
        <w:spacing w:after="240" w:line="360" w:lineRule="exact"/>
        <w:jc w:val="both"/>
        <w:rPr>
          <w:rFonts w:ascii="Calibri" w:hAnsi="Calibri" w:cs="Tahoma"/>
          <w:b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3B7FCF4" wp14:editId="06129D0E">
            <wp:simplePos x="0" y="0"/>
            <wp:positionH relativeFrom="margin">
              <wp:align>center</wp:align>
            </wp:positionH>
            <wp:positionV relativeFrom="paragraph">
              <wp:posOffset>1642110</wp:posOffset>
            </wp:positionV>
            <wp:extent cx="5760720" cy="190944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E1" w:rsidRPr="002E67F5">
        <w:rPr>
          <w:rFonts w:ascii="Calibri" w:hAnsi="Calibri" w:cs="Tahoma"/>
          <w:b/>
          <w:bCs/>
          <w:noProof/>
          <w:color w:val="000000" w:themeColor="text1"/>
        </w:rPr>
        <w:t>A jak jsou na tom jednotlivé fast foody s reklamou?</w:t>
      </w:r>
      <w:r w:rsidR="00FB08E1" w:rsidRPr="002E67F5">
        <w:rPr>
          <w:rFonts w:ascii="Calibri" w:hAnsi="Calibri" w:cs="Tahoma"/>
          <w:bCs/>
          <w:noProof/>
          <w:color w:val="000000" w:themeColor="text1"/>
        </w:rPr>
        <w:t xml:space="preserve"> Žebříček čtyř největších inzerentů v období leden</w:t>
      </w:r>
      <w:r w:rsidR="00FC5AAD" w:rsidRPr="002E67F5">
        <w:rPr>
          <w:rFonts w:ascii="Calibri" w:hAnsi="Calibri" w:cs="Tahoma"/>
          <w:bCs/>
          <w:noProof/>
          <w:color w:val="000000" w:themeColor="text1"/>
        </w:rPr>
        <w:t>–</w:t>
      </w:r>
      <w:r w:rsidR="00FB08E1" w:rsidRPr="002E67F5">
        <w:rPr>
          <w:rFonts w:ascii="Calibri" w:hAnsi="Calibri" w:cs="Tahoma"/>
          <w:bCs/>
          <w:noProof/>
          <w:color w:val="000000" w:themeColor="text1"/>
        </w:rPr>
        <w:t>srpen 2020 se velmi podobá žebříčku nejoblíbenějších značek: na prvním</w:t>
      </w:r>
      <w:r w:rsidR="00FB08E1">
        <w:rPr>
          <w:rFonts w:ascii="Calibri" w:hAnsi="Calibri" w:cs="Tahoma"/>
          <w:bCs/>
          <w:noProof/>
          <w:color w:val="000000" w:themeColor="text1"/>
        </w:rPr>
        <w:t xml:space="preserve"> místě je KFC s hodnotou reklamy přes 292 milionů korun v ceníkových cenách. Druhým největším inzerentem byl v daném období McDonald’s s inzercí v hodnotě více než 145 milionů korun. Třetí Burger King obsadil prostor v ceníkové hodnotě přes 26 milionů korun a čtvrtá Bageterie Boulevard měla reklamu v hodnotě necelých 9 milionů korun. Vychází to z monitoringu reklamy Ad Intel společnosti Nielsen Admosphere.</w:t>
      </w:r>
    </w:p>
    <w:p w14:paraId="4FA99E05" w14:textId="708C6746" w:rsidR="00A71DA6" w:rsidRDefault="00A71DA6" w:rsidP="00F05C36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0E2DD578" w14:textId="0BC454A9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0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0F630C40" w14:textId="77777777" w:rsidR="00607FC9" w:rsidRDefault="00F05C36" w:rsidP="00EB33DD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proofErr w:type="spellStart"/>
      <w:r w:rsidRPr="00C2072A">
        <w:rPr>
          <w:rFonts w:ascii="Calibri" w:hAnsi="Calibri"/>
        </w:rPr>
        <w:t>Nielsen</w:t>
      </w:r>
      <w:proofErr w:type="spellEnd"/>
      <w:r w:rsidRPr="00C2072A">
        <w:rPr>
          <w:rFonts w:ascii="Calibri" w:hAnsi="Calibri"/>
        </w:rPr>
        <w:t xml:space="preserve"> </w:t>
      </w:r>
      <w:proofErr w:type="spellStart"/>
      <w:r w:rsidRPr="00C2072A">
        <w:rPr>
          <w:rFonts w:ascii="Calibri" w:hAnsi="Calibri"/>
        </w:rPr>
        <w:t>Admosphere</w:t>
      </w:r>
      <w:proofErr w:type="spellEnd"/>
      <w:r w:rsidRPr="00C2072A">
        <w:rPr>
          <w:rFonts w:ascii="Calibri" w:hAnsi="Calibri"/>
        </w:rPr>
        <w:t xml:space="preserve">, a.s.| Českobratrská 2778/1 | 130 00 Praha 3 | tel.: +420 222 717 763 | </w:t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65D9BACE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</w:p>
    <w:p w14:paraId="6CE05C95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noProof/>
          <w:color w:val="auto"/>
        </w:rPr>
      </w:pPr>
      <w:r w:rsidRPr="00EB33DD">
        <w:rPr>
          <w:rFonts w:ascii="Calibri" w:eastAsia="Times New Roman" w:hAnsi="Calibri" w:cs="Times New Roman"/>
          <w:b/>
          <w:bCs/>
          <w:noProof/>
          <w:color w:val="FF9900"/>
          <w:lang w:eastAsia="cs-CZ"/>
        </w:rPr>
        <w:t xml:space="preserve">Jakub Fulín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t xml:space="preserve">| Key Account Manager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br/>
      </w:r>
      <w:hyperlink r:id="rId12" w:history="1">
        <w:r w:rsidRPr="00EB33DD">
          <w:rPr>
            <w:rStyle w:val="Hypertextovodkaz"/>
            <w:noProof/>
            <w:color w:val="000000" w:themeColor="text1"/>
          </w:rPr>
          <w:t>jakub.fulin@admosphere.cz</w:t>
        </w:r>
      </w:hyperlink>
    </w:p>
    <w:p w14:paraId="764CA19C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color w:val="auto"/>
          <w:u w:val="none"/>
        </w:rPr>
      </w:pPr>
      <w:proofErr w:type="spellStart"/>
      <w:r w:rsidRPr="00EB33DD">
        <w:rPr>
          <w:rStyle w:val="Hypertextovodkaz"/>
          <w:color w:val="auto"/>
          <w:u w:val="none"/>
        </w:rPr>
        <w:t>Nielsen</w:t>
      </w:r>
      <w:proofErr w:type="spellEnd"/>
      <w:r w:rsidRPr="00EB33DD">
        <w:rPr>
          <w:rStyle w:val="Hypertextovodkaz"/>
          <w:color w:val="auto"/>
          <w:u w:val="none"/>
        </w:rPr>
        <w:t xml:space="preserve"> </w:t>
      </w:r>
      <w:proofErr w:type="spellStart"/>
      <w:r w:rsidRPr="00EB33DD">
        <w:rPr>
          <w:rStyle w:val="Hypertextovodkaz"/>
          <w:color w:val="auto"/>
          <w:u w:val="none"/>
        </w:rPr>
        <w:t>Admosphere</w:t>
      </w:r>
      <w:proofErr w:type="spellEnd"/>
      <w:r w:rsidRPr="00EB33DD">
        <w:rPr>
          <w:rStyle w:val="Hypertextovodkaz"/>
          <w:color w:val="auto"/>
          <w:u w:val="none"/>
        </w:rPr>
        <w:t xml:space="preserve">, a.s. | Českobratrská 2778/1 | 130 00 Praha 3 | tel.: +420 222 717 763 | </w:t>
      </w:r>
    </w:p>
    <w:p w14:paraId="74E0C3A5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color w:val="000000" w:themeColor="text1"/>
        </w:rPr>
      </w:pPr>
      <w:r w:rsidRPr="00EB33DD">
        <w:rPr>
          <w:rStyle w:val="Hypertextovodkaz"/>
          <w:color w:val="000000" w:themeColor="text1"/>
        </w:rPr>
        <w:fldChar w:fldCharType="begin"/>
      </w:r>
      <w:r w:rsidRPr="00EB33DD">
        <w:rPr>
          <w:rStyle w:val="Hypertextovodkaz"/>
          <w:color w:val="000000" w:themeColor="text1"/>
        </w:rPr>
        <w:instrText xml:space="preserve"> HYPERLINK "http://www.nielsen-admosphere.cz" </w:instrText>
      </w:r>
      <w:r w:rsidRPr="00EB33DD">
        <w:rPr>
          <w:rStyle w:val="Hypertextovodkaz"/>
          <w:color w:val="000000" w:themeColor="text1"/>
        </w:rPr>
        <w:fldChar w:fldCharType="separate"/>
      </w:r>
      <w:r w:rsidRPr="00EB33DD">
        <w:rPr>
          <w:rStyle w:val="Hypertextovodkaz"/>
          <w:color w:val="000000" w:themeColor="text1"/>
        </w:rPr>
        <w:t>www.nielsen-admosphere.cz</w:t>
      </w:r>
    </w:p>
    <w:p w14:paraId="6DBE9962" w14:textId="77777777" w:rsidR="00EB33DD" w:rsidRPr="00C2072A" w:rsidRDefault="00EB33DD" w:rsidP="00F05C36">
      <w:pPr>
        <w:spacing w:after="240"/>
        <w:contextualSpacing/>
        <w:rPr>
          <w:rStyle w:val="Hypertextovodkaz"/>
          <w:rFonts w:ascii="Calibri" w:hAnsi="Calibri"/>
        </w:rPr>
      </w:pPr>
      <w:r w:rsidRPr="00EB33DD">
        <w:rPr>
          <w:rStyle w:val="Hypertextovodkaz"/>
          <w:color w:val="000000" w:themeColor="text1"/>
        </w:rPr>
        <w:fldChar w:fldCharType="end"/>
      </w:r>
    </w:p>
    <w:p w14:paraId="440F3BF6" w14:textId="77777777"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14:paraId="177C33D9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proofErr w:type="spellStart"/>
      <w:r w:rsidRPr="00C2072A">
        <w:rPr>
          <w:b/>
          <w:color w:val="808080"/>
          <w:sz w:val="20"/>
          <w:szCs w:val="20"/>
        </w:rPr>
        <w:t>Nielsen</w:t>
      </w:r>
      <w:proofErr w:type="spellEnd"/>
      <w:r w:rsidRPr="00C2072A">
        <w:rPr>
          <w:b/>
          <w:color w:val="808080"/>
          <w:sz w:val="20"/>
          <w:szCs w:val="20"/>
        </w:rPr>
        <w:t xml:space="preserve"> </w:t>
      </w:r>
      <w:proofErr w:type="spellStart"/>
      <w:r w:rsidRPr="00C2072A">
        <w:rPr>
          <w:b/>
          <w:color w:val="808080"/>
          <w:sz w:val="20"/>
          <w:szCs w:val="20"/>
        </w:rPr>
        <w:t>Admosphere</w:t>
      </w:r>
      <w:proofErr w:type="spellEnd"/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3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C2072A">
        <w:rPr>
          <w:color w:val="808080"/>
          <w:sz w:val="20"/>
          <w:szCs w:val="20"/>
        </w:rPr>
        <w:t>SimMetry</w:t>
      </w:r>
      <w:proofErr w:type="spellEnd"/>
      <w:r w:rsidRPr="00C2072A">
        <w:rPr>
          <w:color w:val="808080"/>
          <w:sz w:val="20"/>
          <w:szCs w:val="20"/>
        </w:rPr>
        <w:t>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 xml:space="preserve">my…) a analýze dat a nabízí komplexní servis spolehlivé výzkumné agentury se zázemím mezinárodní výzkumné společnosti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>.</w:t>
      </w:r>
    </w:p>
    <w:p w14:paraId="12DDB964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Součástí skupiny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 je i společnost </w:t>
      </w:r>
      <w:proofErr w:type="spellStart"/>
      <w:r w:rsidRPr="00C2072A">
        <w:rPr>
          <w:color w:val="808080"/>
          <w:sz w:val="20"/>
          <w:szCs w:val="20"/>
        </w:rPr>
        <w:t>Adwind</w:t>
      </w:r>
      <w:proofErr w:type="spellEnd"/>
      <w:r w:rsidRPr="00C2072A">
        <w:rPr>
          <w:color w:val="808080"/>
          <w:sz w:val="20"/>
          <w:szCs w:val="20"/>
        </w:rPr>
        <w:t xml:space="preserve"> Software, která vyvíjí software pro práci s daty z výzkumů sledovanosti a monitoringu reklamy.</w:t>
      </w:r>
    </w:p>
    <w:p w14:paraId="5F1DF596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8E9AC3" wp14:editId="78D3E31C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5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1B63678B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</w:p>
    <w:p w14:paraId="4F87F020" w14:textId="77777777" w:rsidR="00F43807" w:rsidRPr="00C2072A" w:rsidRDefault="00F43807" w:rsidP="00F05C36"/>
    <w:sectPr w:rsidR="00F43807" w:rsidRPr="00C2072A" w:rsidSect="00F05C36">
      <w:headerReference w:type="default" r:id="rId16"/>
      <w:footerReference w:type="default" r:id="rId17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5B3A" w14:textId="77777777" w:rsidR="008E3C10" w:rsidRDefault="008E3C10" w:rsidP="00F41A48">
      <w:pPr>
        <w:spacing w:after="0" w:line="240" w:lineRule="auto"/>
      </w:pPr>
      <w:r>
        <w:separator/>
      </w:r>
    </w:p>
  </w:endnote>
  <w:endnote w:type="continuationSeparator" w:id="0">
    <w:p w14:paraId="1EC5D3BC" w14:textId="77777777" w:rsidR="008E3C10" w:rsidRDefault="008E3C10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294ED0F7" w14:textId="72C079A3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02">
          <w:rPr>
            <w:noProof/>
          </w:rPr>
          <w:t>1</w:t>
        </w:r>
        <w:r>
          <w:fldChar w:fldCharType="end"/>
        </w:r>
      </w:p>
    </w:sdtContent>
  </w:sdt>
  <w:p w14:paraId="4FB36C5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7090" w14:textId="77777777" w:rsidR="008E3C10" w:rsidRDefault="008E3C10" w:rsidP="00F41A48">
      <w:pPr>
        <w:spacing w:after="0" w:line="240" w:lineRule="auto"/>
      </w:pPr>
      <w:r>
        <w:separator/>
      </w:r>
    </w:p>
  </w:footnote>
  <w:footnote w:type="continuationSeparator" w:id="0">
    <w:p w14:paraId="6806A2A6" w14:textId="77777777" w:rsidR="008E3C10" w:rsidRDefault="008E3C10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E796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4D96C36" wp14:editId="24190AFE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14:paraId="34F33212" w14:textId="2E686EEA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C76EAA" wp14:editId="50ED5908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Pr="00F05C36">
      <w:rPr>
        <w:b/>
      </w:rPr>
      <w:t xml:space="preserve">, a.s., Praha, </w:t>
    </w:r>
    <w:r w:rsidR="002E67F5">
      <w:rPr>
        <w:b/>
      </w:rPr>
      <w:t>7</w:t>
    </w:r>
    <w:r w:rsidR="00EB13DD">
      <w:rPr>
        <w:b/>
      </w:rPr>
      <w:t xml:space="preserve">. </w:t>
    </w:r>
    <w:r w:rsidR="001A495D">
      <w:rPr>
        <w:b/>
      </w:rPr>
      <w:t>10</w:t>
    </w:r>
    <w:r w:rsidRPr="00F05C36">
      <w:rPr>
        <w:b/>
      </w:rPr>
      <w:t>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56FB3"/>
    <w:rsid w:val="00063A8B"/>
    <w:rsid w:val="0008306D"/>
    <w:rsid w:val="00083C3F"/>
    <w:rsid w:val="00084868"/>
    <w:rsid w:val="0009075C"/>
    <w:rsid w:val="000A04AC"/>
    <w:rsid w:val="000A6381"/>
    <w:rsid w:val="000B0B3A"/>
    <w:rsid w:val="000B3CE1"/>
    <w:rsid w:val="000C56AC"/>
    <w:rsid w:val="000C6A4E"/>
    <w:rsid w:val="000D05AE"/>
    <w:rsid w:val="000D6070"/>
    <w:rsid w:val="00102258"/>
    <w:rsid w:val="0011648E"/>
    <w:rsid w:val="0012266F"/>
    <w:rsid w:val="00125C58"/>
    <w:rsid w:val="00126F9B"/>
    <w:rsid w:val="00131BAA"/>
    <w:rsid w:val="00131DB1"/>
    <w:rsid w:val="001423BA"/>
    <w:rsid w:val="00142C11"/>
    <w:rsid w:val="001440D0"/>
    <w:rsid w:val="001472B6"/>
    <w:rsid w:val="00162B06"/>
    <w:rsid w:val="00172669"/>
    <w:rsid w:val="001772A5"/>
    <w:rsid w:val="00187638"/>
    <w:rsid w:val="00197B0D"/>
    <w:rsid w:val="001A495D"/>
    <w:rsid w:val="001B53B8"/>
    <w:rsid w:val="001C157F"/>
    <w:rsid w:val="001C3FC3"/>
    <w:rsid w:val="001C5C39"/>
    <w:rsid w:val="001C76CE"/>
    <w:rsid w:val="00205596"/>
    <w:rsid w:val="00206A27"/>
    <w:rsid w:val="002212AD"/>
    <w:rsid w:val="00223D0F"/>
    <w:rsid w:val="00225664"/>
    <w:rsid w:val="00225A1B"/>
    <w:rsid w:val="00230A59"/>
    <w:rsid w:val="00236C6E"/>
    <w:rsid w:val="00247160"/>
    <w:rsid w:val="002650C5"/>
    <w:rsid w:val="002A2B5D"/>
    <w:rsid w:val="002B3ADC"/>
    <w:rsid w:val="002C21BC"/>
    <w:rsid w:val="002D3C84"/>
    <w:rsid w:val="002E02F1"/>
    <w:rsid w:val="002E67F5"/>
    <w:rsid w:val="002F743B"/>
    <w:rsid w:val="00310D31"/>
    <w:rsid w:val="0031221D"/>
    <w:rsid w:val="00331D39"/>
    <w:rsid w:val="00332761"/>
    <w:rsid w:val="0033358C"/>
    <w:rsid w:val="00353D02"/>
    <w:rsid w:val="00356E0F"/>
    <w:rsid w:val="003708EE"/>
    <w:rsid w:val="00373E71"/>
    <w:rsid w:val="0038756E"/>
    <w:rsid w:val="00397546"/>
    <w:rsid w:val="003B3CE8"/>
    <w:rsid w:val="003D01FA"/>
    <w:rsid w:val="003D5F9B"/>
    <w:rsid w:val="003E09F5"/>
    <w:rsid w:val="003E4D87"/>
    <w:rsid w:val="003F0DC5"/>
    <w:rsid w:val="003F1D8B"/>
    <w:rsid w:val="004648F6"/>
    <w:rsid w:val="00484C83"/>
    <w:rsid w:val="004C33B2"/>
    <w:rsid w:val="004C4BE6"/>
    <w:rsid w:val="004E6C5B"/>
    <w:rsid w:val="004F45F6"/>
    <w:rsid w:val="005129AA"/>
    <w:rsid w:val="00546F71"/>
    <w:rsid w:val="005475B8"/>
    <w:rsid w:val="00551314"/>
    <w:rsid w:val="00563630"/>
    <w:rsid w:val="00563EA0"/>
    <w:rsid w:val="005753D1"/>
    <w:rsid w:val="00594895"/>
    <w:rsid w:val="005A1078"/>
    <w:rsid w:val="005A3FB3"/>
    <w:rsid w:val="005B75D5"/>
    <w:rsid w:val="005C1FE5"/>
    <w:rsid w:val="005C3796"/>
    <w:rsid w:val="005C678E"/>
    <w:rsid w:val="005D421A"/>
    <w:rsid w:val="00607FC9"/>
    <w:rsid w:val="00642624"/>
    <w:rsid w:val="00653C08"/>
    <w:rsid w:val="00656DF3"/>
    <w:rsid w:val="00660C0D"/>
    <w:rsid w:val="00664B43"/>
    <w:rsid w:val="0067085A"/>
    <w:rsid w:val="00674FF7"/>
    <w:rsid w:val="00693046"/>
    <w:rsid w:val="006B504B"/>
    <w:rsid w:val="006D1BF3"/>
    <w:rsid w:val="006D2CDB"/>
    <w:rsid w:val="006E46DF"/>
    <w:rsid w:val="006E691A"/>
    <w:rsid w:val="006E6D5A"/>
    <w:rsid w:val="006F57D0"/>
    <w:rsid w:val="0070453A"/>
    <w:rsid w:val="00720457"/>
    <w:rsid w:val="00725500"/>
    <w:rsid w:val="00736438"/>
    <w:rsid w:val="00742E4C"/>
    <w:rsid w:val="00743699"/>
    <w:rsid w:val="007A2607"/>
    <w:rsid w:val="007D217B"/>
    <w:rsid w:val="007F2A07"/>
    <w:rsid w:val="00804CF9"/>
    <w:rsid w:val="00815CF0"/>
    <w:rsid w:val="0081674D"/>
    <w:rsid w:val="00830F54"/>
    <w:rsid w:val="00850C91"/>
    <w:rsid w:val="0086617C"/>
    <w:rsid w:val="008814D4"/>
    <w:rsid w:val="00882EC7"/>
    <w:rsid w:val="00884E9B"/>
    <w:rsid w:val="008953FE"/>
    <w:rsid w:val="008C0C93"/>
    <w:rsid w:val="008D587E"/>
    <w:rsid w:val="008E3C10"/>
    <w:rsid w:val="00911096"/>
    <w:rsid w:val="00912DC0"/>
    <w:rsid w:val="00944AA4"/>
    <w:rsid w:val="00945D43"/>
    <w:rsid w:val="00945F52"/>
    <w:rsid w:val="00962F79"/>
    <w:rsid w:val="009630E9"/>
    <w:rsid w:val="00972197"/>
    <w:rsid w:val="00985D1F"/>
    <w:rsid w:val="009A08A4"/>
    <w:rsid w:val="009A5986"/>
    <w:rsid w:val="009A7C12"/>
    <w:rsid w:val="009B1955"/>
    <w:rsid w:val="009B3D13"/>
    <w:rsid w:val="009C0B3C"/>
    <w:rsid w:val="009D0075"/>
    <w:rsid w:val="009D2AED"/>
    <w:rsid w:val="00A06312"/>
    <w:rsid w:val="00A15F6D"/>
    <w:rsid w:val="00A24CEE"/>
    <w:rsid w:val="00A351A1"/>
    <w:rsid w:val="00A3647D"/>
    <w:rsid w:val="00A66DBA"/>
    <w:rsid w:val="00A71DA6"/>
    <w:rsid w:val="00A76FF2"/>
    <w:rsid w:val="00AB60BB"/>
    <w:rsid w:val="00AC2C0E"/>
    <w:rsid w:val="00AC65F7"/>
    <w:rsid w:val="00AD024B"/>
    <w:rsid w:val="00AE216E"/>
    <w:rsid w:val="00AE77B4"/>
    <w:rsid w:val="00B0049A"/>
    <w:rsid w:val="00B07DAD"/>
    <w:rsid w:val="00B22C62"/>
    <w:rsid w:val="00B33829"/>
    <w:rsid w:val="00B47F68"/>
    <w:rsid w:val="00B64D92"/>
    <w:rsid w:val="00B67B08"/>
    <w:rsid w:val="00B76868"/>
    <w:rsid w:val="00BB6DD3"/>
    <w:rsid w:val="00BC0512"/>
    <w:rsid w:val="00BC6F50"/>
    <w:rsid w:val="00C01E34"/>
    <w:rsid w:val="00C0761B"/>
    <w:rsid w:val="00C2072A"/>
    <w:rsid w:val="00C27F1E"/>
    <w:rsid w:val="00C37FE0"/>
    <w:rsid w:val="00C421E8"/>
    <w:rsid w:val="00C42B7D"/>
    <w:rsid w:val="00C50525"/>
    <w:rsid w:val="00C62AF2"/>
    <w:rsid w:val="00C73820"/>
    <w:rsid w:val="00C74737"/>
    <w:rsid w:val="00C946A2"/>
    <w:rsid w:val="00C97C61"/>
    <w:rsid w:val="00CA5E1B"/>
    <w:rsid w:val="00CE17B5"/>
    <w:rsid w:val="00D41F99"/>
    <w:rsid w:val="00D45CB8"/>
    <w:rsid w:val="00D45D70"/>
    <w:rsid w:val="00D56BD1"/>
    <w:rsid w:val="00D61D04"/>
    <w:rsid w:val="00D62307"/>
    <w:rsid w:val="00D62A58"/>
    <w:rsid w:val="00D77812"/>
    <w:rsid w:val="00D93545"/>
    <w:rsid w:val="00DC3445"/>
    <w:rsid w:val="00DD323F"/>
    <w:rsid w:val="00DF35D8"/>
    <w:rsid w:val="00DF3B91"/>
    <w:rsid w:val="00DF5406"/>
    <w:rsid w:val="00E004B4"/>
    <w:rsid w:val="00E35DFF"/>
    <w:rsid w:val="00E44A28"/>
    <w:rsid w:val="00E86A67"/>
    <w:rsid w:val="00E90E30"/>
    <w:rsid w:val="00E92BAF"/>
    <w:rsid w:val="00EB13DD"/>
    <w:rsid w:val="00EB339F"/>
    <w:rsid w:val="00EB33DD"/>
    <w:rsid w:val="00EF3689"/>
    <w:rsid w:val="00F05C36"/>
    <w:rsid w:val="00F17CDC"/>
    <w:rsid w:val="00F22905"/>
    <w:rsid w:val="00F27620"/>
    <w:rsid w:val="00F33DA4"/>
    <w:rsid w:val="00F41A48"/>
    <w:rsid w:val="00F43807"/>
    <w:rsid w:val="00F53105"/>
    <w:rsid w:val="00F571C9"/>
    <w:rsid w:val="00F9587D"/>
    <w:rsid w:val="00FA5CA7"/>
    <w:rsid w:val="00FA7AB0"/>
    <w:rsid w:val="00FB08E1"/>
    <w:rsid w:val="00FC0983"/>
    <w:rsid w:val="00FC5AAD"/>
    <w:rsid w:val="00FD5A60"/>
    <w:rsid w:val="00FD64E7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4C605A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33D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5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lsen-admospher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ub.fulin@admosph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\documents\02-Company\03-PR\02-Tiskove%20zpravy%20-%20pracovni\01-CZ\2020\www.provyzkum.cz" TargetMode="External"/><Relationship Id="rId10" Type="http://schemas.openxmlformats.org/officeDocument/2006/relationships/hyperlink" Target="mailto:eliska.morochovicova@admospher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C3BD-64B4-4ECB-A967-D7122B0B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7</TotalTime>
  <Pages>4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3</cp:revision>
  <cp:lastPrinted>2020-02-13T09:57:00Z</cp:lastPrinted>
  <dcterms:created xsi:type="dcterms:W3CDTF">2020-10-07T08:17:00Z</dcterms:created>
  <dcterms:modified xsi:type="dcterms:W3CDTF">2020-10-07T08:24:00Z</dcterms:modified>
</cp:coreProperties>
</file>