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F2933" w14:textId="7E1165B7" w:rsidR="0012266F" w:rsidRPr="0012266F" w:rsidRDefault="00701CC8" w:rsidP="00F05C36">
      <w:pPr>
        <w:pStyle w:val="DokumentObsah"/>
        <w:rPr>
          <w:b w:val="0"/>
          <w:bCs/>
          <w:sz w:val="22"/>
          <w:szCs w:val="48"/>
        </w:rPr>
      </w:pPr>
      <w:r>
        <w:rPr>
          <w:bCs/>
          <w:sz w:val="36"/>
          <w:szCs w:val="48"/>
        </w:rPr>
        <w:t xml:space="preserve">Jen pětina lidí se ráno </w:t>
      </w:r>
      <w:r w:rsidR="00F22F6C">
        <w:rPr>
          <w:bCs/>
          <w:sz w:val="36"/>
          <w:szCs w:val="48"/>
        </w:rPr>
        <w:t>probouzí dobře vyspaná. Působení m</w:t>
      </w:r>
      <w:r>
        <w:rPr>
          <w:bCs/>
          <w:sz w:val="36"/>
          <w:szCs w:val="48"/>
        </w:rPr>
        <w:t>odré</w:t>
      </w:r>
      <w:r w:rsidR="00F22F6C">
        <w:rPr>
          <w:bCs/>
          <w:sz w:val="36"/>
          <w:szCs w:val="48"/>
        </w:rPr>
        <w:t>ho</w:t>
      </w:r>
      <w:r>
        <w:rPr>
          <w:bCs/>
          <w:sz w:val="36"/>
          <w:szCs w:val="48"/>
        </w:rPr>
        <w:t xml:space="preserve"> světl</w:t>
      </w:r>
      <w:r w:rsidR="00F22F6C">
        <w:rPr>
          <w:bCs/>
          <w:sz w:val="36"/>
          <w:szCs w:val="48"/>
        </w:rPr>
        <w:t>a</w:t>
      </w:r>
      <w:r>
        <w:rPr>
          <w:bCs/>
          <w:sz w:val="36"/>
          <w:szCs w:val="48"/>
        </w:rPr>
        <w:t xml:space="preserve"> před spaním </w:t>
      </w:r>
      <w:r w:rsidR="00B92B0F">
        <w:rPr>
          <w:bCs/>
          <w:sz w:val="36"/>
          <w:szCs w:val="48"/>
        </w:rPr>
        <w:t>většina lidí neřeší</w:t>
      </w:r>
    </w:p>
    <w:p w14:paraId="44BC544E" w14:textId="40F08FDB" w:rsidR="00F9587D" w:rsidRPr="00815CF0" w:rsidRDefault="005242C9" w:rsidP="00F05C36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5242C9">
        <w:rPr>
          <w:rFonts w:ascii="Calibri" w:hAnsi="Calibri" w:cs="Tahoma"/>
          <w:b/>
          <w:bCs/>
          <w:i/>
          <w:noProof/>
          <w:color w:val="000000" w:themeColor="text1"/>
        </w:rPr>
        <w:t xml:space="preserve">Kvalita spánku je důležitým faktorem i pro kvalitu celého našeho života. Únava, podrážděnost, menší výkonnost, horší sociální vztahy i trávicí obtíže během dne mohou pramenit právě z nedostatku kvalitního spánku. Dle výzkumu společnosti Nielsen Admosphere se až 70 % lidí někdy probouzí unavených, bez pocitu odpočinutí a 10 % lidí s těmito pocity </w:t>
      </w:r>
      <w:r w:rsidR="005B377B">
        <w:rPr>
          <w:rFonts w:ascii="Calibri" w:hAnsi="Calibri" w:cs="Tahoma"/>
          <w:b/>
          <w:bCs/>
          <w:i/>
          <w:noProof/>
          <w:color w:val="000000" w:themeColor="text1"/>
        </w:rPr>
        <w:t xml:space="preserve">dokonce </w:t>
      </w:r>
      <w:r w:rsidRPr="005242C9">
        <w:rPr>
          <w:rFonts w:ascii="Calibri" w:hAnsi="Calibri" w:cs="Tahoma"/>
          <w:b/>
          <w:bCs/>
          <w:i/>
          <w:noProof/>
          <w:color w:val="000000" w:themeColor="text1"/>
        </w:rPr>
        <w:t>vstává</w:t>
      </w:r>
      <w:r w:rsidR="005B377B">
        <w:rPr>
          <w:rFonts w:ascii="Calibri" w:hAnsi="Calibri" w:cs="Tahoma"/>
          <w:b/>
          <w:bCs/>
          <w:i/>
          <w:noProof/>
          <w:color w:val="000000" w:themeColor="text1"/>
        </w:rPr>
        <w:t xml:space="preserve"> pravidelně</w:t>
      </w:r>
      <w:r w:rsidRPr="005242C9">
        <w:rPr>
          <w:rFonts w:ascii="Calibri" w:hAnsi="Calibri" w:cs="Tahoma"/>
          <w:b/>
          <w:bCs/>
          <w:i/>
          <w:noProof/>
          <w:color w:val="000000" w:themeColor="text1"/>
        </w:rPr>
        <w:t>.</w:t>
      </w:r>
      <w:r w:rsidR="005B377B">
        <w:rPr>
          <w:rFonts w:ascii="Calibri" w:hAnsi="Calibri" w:cs="Tahoma"/>
          <w:b/>
          <w:bCs/>
          <w:i/>
          <w:noProof/>
          <w:color w:val="000000" w:themeColor="text1"/>
        </w:rPr>
        <w:t xml:space="preserve"> Vliv na naše spaní má i elektronika, kterou denně používáme.</w:t>
      </w:r>
      <w:r w:rsidR="007D40A1">
        <w:rPr>
          <w:rFonts w:ascii="Calibri" w:hAnsi="Calibri" w:cs="Tahoma"/>
          <w:b/>
          <w:bCs/>
          <w:i/>
          <w:noProof/>
          <w:color w:val="000000" w:themeColor="text1"/>
        </w:rPr>
        <w:t xml:space="preserve"> Velkou</w:t>
      </w:r>
      <w:r w:rsidR="005B377B">
        <w:rPr>
          <w:rFonts w:ascii="Calibri" w:hAnsi="Calibri" w:cs="Tahoma"/>
          <w:b/>
          <w:bCs/>
          <w:i/>
          <w:noProof/>
          <w:color w:val="000000" w:themeColor="text1"/>
        </w:rPr>
        <w:t xml:space="preserve"> část </w:t>
      </w:r>
      <w:r w:rsidR="00701CC8">
        <w:rPr>
          <w:rFonts w:ascii="Calibri" w:hAnsi="Calibri" w:cs="Tahoma"/>
          <w:b/>
          <w:bCs/>
          <w:i/>
          <w:noProof/>
          <w:color w:val="000000" w:themeColor="text1"/>
        </w:rPr>
        <w:t>respondentů z řad internetových uživatelů</w:t>
      </w:r>
      <w:r w:rsidR="005B377B">
        <w:rPr>
          <w:rFonts w:ascii="Calibri" w:hAnsi="Calibri" w:cs="Tahoma"/>
          <w:b/>
          <w:bCs/>
          <w:i/>
          <w:noProof/>
          <w:color w:val="000000" w:themeColor="text1"/>
        </w:rPr>
        <w:t xml:space="preserve"> však toto téma </w:t>
      </w:r>
      <w:r w:rsidR="007D40A1">
        <w:rPr>
          <w:rFonts w:ascii="Calibri" w:hAnsi="Calibri" w:cs="Tahoma"/>
          <w:b/>
          <w:bCs/>
          <w:i/>
          <w:noProof/>
          <w:color w:val="000000" w:themeColor="text1"/>
        </w:rPr>
        <w:t>netrápí</w:t>
      </w:r>
      <w:r w:rsidR="005B377B">
        <w:rPr>
          <w:rFonts w:ascii="Calibri" w:hAnsi="Calibri" w:cs="Tahoma"/>
          <w:b/>
          <w:bCs/>
          <w:i/>
          <w:noProof/>
          <w:color w:val="000000" w:themeColor="text1"/>
        </w:rPr>
        <w:t xml:space="preserve">: více než tři čtvrtiny </w:t>
      </w:r>
      <w:r w:rsidR="001315DA">
        <w:rPr>
          <w:rFonts w:ascii="Calibri" w:hAnsi="Calibri" w:cs="Tahoma"/>
          <w:b/>
          <w:bCs/>
          <w:i/>
          <w:noProof/>
          <w:color w:val="000000" w:themeColor="text1"/>
        </w:rPr>
        <w:t>z nich</w:t>
      </w:r>
      <w:r w:rsidR="00BE27E5">
        <w:rPr>
          <w:rFonts w:ascii="Calibri" w:hAnsi="Calibri" w:cs="Tahoma"/>
          <w:b/>
          <w:bCs/>
          <w:i/>
          <w:noProof/>
          <w:color w:val="000000" w:themeColor="text1"/>
        </w:rPr>
        <w:t xml:space="preserve"> </w:t>
      </w:r>
      <w:r w:rsidR="005B377B">
        <w:rPr>
          <w:rFonts w:ascii="Calibri" w:hAnsi="Calibri" w:cs="Tahoma"/>
          <w:b/>
          <w:bCs/>
          <w:i/>
          <w:noProof/>
          <w:color w:val="000000" w:themeColor="text1"/>
        </w:rPr>
        <w:t xml:space="preserve">před spaním nijak neomezují modré světlo, které vyzařují obrazovky, a </w:t>
      </w:r>
      <w:r w:rsidR="008938AF">
        <w:rPr>
          <w:rFonts w:ascii="Calibri" w:hAnsi="Calibri" w:cs="Tahoma"/>
          <w:b/>
          <w:bCs/>
          <w:i/>
          <w:noProof/>
          <w:color w:val="000000" w:themeColor="text1"/>
        </w:rPr>
        <w:t xml:space="preserve">pouze pětina nechává </w:t>
      </w:r>
      <w:r w:rsidR="00BE27E5">
        <w:rPr>
          <w:rFonts w:ascii="Calibri" w:hAnsi="Calibri" w:cs="Tahoma"/>
          <w:b/>
          <w:bCs/>
          <w:i/>
          <w:noProof/>
          <w:color w:val="000000" w:themeColor="text1"/>
        </w:rPr>
        <w:t xml:space="preserve">na noc </w:t>
      </w:r>
      <w:r w:rsidR="008938AF">
        <w:rPr>
          <w:rFonts w:ascii="Calibri" w:hAnsi="Calibri" w:cs="Tahoma"/>
          <w:b/>
          <w:bCs/>
          <w:i/>
          <w:noProof/>
          <w:color w:val="000000" w:themeColor="text1"/>
        </w:rPr>
        <w:t>svůj mobilní telefon v jiné místnosti, než spí.</w:t>
      </w:r>
    </w:p>
    <w:p w14:paraId="46F3D3A8" w14:textId="5F1E2C25" w:rsidR="009B1955" w:rsidRPr="00701CC8" w:rsidRDefault="00C2072A" w:rsidP="005B75D5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815CF0">
        <w:rPr>
          <w:rFonts w:ascii="Calibri" w:hAnsi="Calibri" w:cs="Tahoma"/>
          <w:b/>
          <w:bCs/>
          <w:i/>
          <w:noProof/>
          <w:color w:val="000000" w:themeColor="text1"/>
        </w:rPr>
        <w:t>Výzkum realizovala společnost</w:t>
      </w:r>
      <w:r w:rsidR="0081674D" w:rsidRPr="00815CF0">
        <w:rPr>
          <w:rFonts w:ascii="Calibri" w:hAnsi="Calibri" w:cs="Tahoma"/>
          <w:b/>
          <w:bCs/>
          <w:i/>
          <w:noProof/>
          <w:color w:val="000000" w:themeColor="text1"/>
        </w:rPr>
        <w:t xml:space="preserve"> Nielsen Admosphere </w:t>
      </w:r>
      <w:r w:rsidRPr="00815CF0">
        <w:rPr>
          <w:rFonts w:ascii="Calibri" w:hAnsi="Calibri" w:cs="Tahoma"/>
          <w:b/>
          <w:bCs/>
          <w:i/>
          <w:noProof/>
          <w:color w:val="000000" w:themeColor="text1"/>
        </w:rPr>
        <w:t>na vzorku pěti set respondentů z internetové populace Českého národního panelu starší</w:t>
      </w:r>
      <w:r w:rsidR="00EB13DD" w:rsidRPr="00815CF0">
        <w:rPr>
          <w:rFonts w:ascii="Calibri" w:hAnsi="Calibri" w:cs="Tahoma"/>
          <w:b/>
          <w:bCs/>
          <w:i/>
          <w:noProof/>
          <w:color w:val="000000" w:themeColor="text1"/>
        </w:rPr>
        <w:t>ch</w:t>
      </w:r>
      <w:r w:rsidRPr="00815CF0">
        <w:rPr>
          <w:rFonts w:ascii="Calibri" w:hAnsi="Calibri" w:cs="Tahoma"/>
          <w:b/>
          <w:bCs/>
          <w:i/>
          <w:noProof/>
          <w:color w:val="000000" w:themeColor="text1"/>
        </w:rPr>
        <w:t xml:space="preserve"> 15 let.</w:t>
      </w:r>
    </w:p>
    <w:p w14:paraId="77CFA6E0" w14:textId="4B3D3859" w:rsidR="00802088" w:rsidRDefault="008938AF" w:rsidP="00701CC8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rFonts w:ascii="Calibri" w:hAnsi="Calibri" w:cs="Tahoma"/>
          <w:bCs/>
          <w:noProof/>
          <w:color w:val="000000" w:themeColor="text1"/>
        </w:rPr>
        <w:t>Dobře vyspaná a odpočinutá se ráno probouzí jen zhruba pětina respondentů. Obvykle unavených je ráno po probuzení 10 % dotázaných. V</w:t>
      </w:r>
      <w:r w:rsidR="00166E9F">
        <w:rPr>
          <w:rFonts w:ascii="Calibri" w:hAnsi="Calibri" w:cs="Tahoma"/>
          <w:bCs/>
          <w:noProof/>
          <w:color w:val="000000" w:themeColor="text1"/>
        </w:rPr>
        <w:t>e</w:t>
      </w:r>
      <w:r>
        <w:rPr>
          <w:rFonts w:ascii="Calibri" w:hAnsi="Calibri" w:cs="Tahoma"/>
          <w:bCs/>
          <w:noProof/>
          <w:color w:val="000000" w:themeColor="text1"/>
        </w:rPr>
        <w:t xml:space="preserve"> větší míře se </w:t>
      </w:r>
      <w:r w:rsidR="003B1592">
        <w:rPr>
          <w:rFonts w:ascii="Calibri" w:hAnsi="Calibri" w:cs="Tahoma"/>
          <w:bCs/>
          <w:noProof/>
          <w:color w:val="000000" w:themeColor="text1"/>
        </w:rPr>
        <w:t xml:space="preserve">probouzí </w:t>
      </w:r>
      <w:r>
        <w:rPr>
          <w:rFonts w:ascii="Calibri" w:hAnsi="Calibri" w:cs="Tahoma"/>
          <w:bCs/>
          <w:noProof/>
          <w:color w:val="000000" w:themeColor="text1"/>
        </w:rPr>
        <w:t>unaven</w:t>
      </w:r>
      <w:r w:rsidR="00166E9F">
        <w:rPr>
          <w:rFonts w:ascii="Calibri" w:hAnsi="Calibri" w:cs="Tahoma"/>
          <w:bCs/>
          <w:noProof/>
          <w:color w:val="000000" w:themeColor="text1"/>
        </w:rPr>
        <w:t>í nejmladší respondenti ve věku 15</w:t>
      </w:r>
      <w:r w:rsidR="00166E9F" w:rsidRPr="005242C9">
        <w:rPr>
          <w:rFonts w:ascii="Calibri" w:hAnsi="Calibri" w:cs="Tahoma"/>
          <w:bCs/>
          <w:noProof/>
          <w:color w:val="000000" w:themeColor="text1"/>
        </w:rPr>
        <w:t>–</w:t>
      </w:r>
      <w:r w:rsidR="00166E9F">
        <w:rPr>
          <w:rFonts w:ascii="Calibri" w:hAnsi="Calibri" w:cs="Tahoma"/>
          <w:bCs/>
          <w:noProof/>
          <w:color w:val="000000" w:themeColor="text1"/>
        </w:rPr>
        <w:t>34 let oproti těm starším a nepatrně více také</w:t>
      </w:r>
      <w:r w:rsidR="005242C9" w:rsidRPr="005242C9">
        <w:rPr>
          <w:rFonts w:ascii="Calibri" w:hAnsi="Calibri" w:cs="Tahoma"/>
          <w:bCs/>
          <w:noProof/>
          <w:color w:val="000000" w:themeColor="text1"/>
        </w:rPr>
        <w:t xml:space="preserve"> ženy</w:t>
      </w:r>
      <w:r w:rsidR="00166E9F">
        <w:rPr>
          <w:rFonts w:ascii="Calibri" w:hAnsi="Calibri" w:cs="Tahoma"/>
          <w:bCs/>
          <w:noProof/>
          <w:color w:val="000000" w:themeColor="text1"/>
        </w:rPr>
        <w:t xml:space="preserve"> než muži</w:t>
      </w:r>
      <w:r w:rsidR="00166E9F" w:rsidRPr="003B1592">
        <w:rPr>
          <w:rFonts w:ascii="Calibri" w:hAnsi="Calibri" w:cs="Tahoma"/>
          <w:bCs/>
          <w:noProof/>
          <w:color w:val="000000" w:themeColor="text1"/>
        </w:rPr>
        <w:t>.</w:t>
      </w:r>
      <w:r w:rsidR="005242C9" w:rsidRPr="003B1592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802088" w:rsidRPr="003B1592">
        <w:rPr>
          <w:rFonts w:ascii="Calibri" w:hAnsi="Calibri" w:cs="Tahoma"/>
          <w:bCs/>
          <w:noProof/>
          <w:color w:val="000000" w:themeColor="text1"/>
        </w:rPr>
        <w:t>U respondentů s dětmi se odpovědi na tuto otázku zásadně neliší od odpovědí těch, kteří potomky nem</w:t>
      </w:r>
      <w:r w:rsidR="003B1592">
        <w:rPr>
          <w:rFonts w:ascii="Calibri" w:hAnsi="Calibri" w:cs="Tahoma"/>
          <w:bCs/>
          <w:noProof/>
          <w:color w:val="000000" w:themeColor="text1"/>
        </w:rPr>
        <w:t>ají. Ovšem pokud se zaměříme na </w:t>
      </w:r>
      <w:r w:rsidR="00802088" w:rsidRPr="003B1592">
        <w:rPr>
          <w:rFonts w:ascii="Calibri" w:hAnsi="Calibri" w:cs="Tahoma"/>
          <w:bCs/>
          <w:noProof/>
          <w:color w:val="000000" w:themeColor="text1"/>
        </w:rPr>
        <w:t>věk dětí, pak se ve větší míře ráno budí unavení rodiče dětí do 5 let než ti, kteří již mají děti starší.</w:t>
      </w:r>
    </w:p>
    <w:p w14:paraId="7113A2F4" w14:textId="52375AF9" w:rsidR="007D40A1" w:rsidRPr="007D40A1" w:rsidRDefault="007D40A1" w:rsidP="00701CC8">
      <w:pPr>
        <w:spacing w:after="240" w:line="360" w:lineRule="exact"/>
        <w:jc w:val="both"/>
        <w:rPr>
          <w:rFonts w:ascii="Calibri" w:hAnsi="Calibri" w:cs="Tahoma"/>
          <w:b/>
          <w:bCs/>
          <w:noProof/>
          <w:color w:val="FF9900"/>
        </w:rPr>
      </w:pPr>
      <w:r w:rsidRPr="007D40A1">
        <w:rPr>
          <w:rFonts w:ascii="Calibri" w:hAnsi="Calibri" w:cs="Tahoma"/>
          <w:b/>
          <w:bCs/>
          <w:noProof/>
          <w:color w:val="FF9900"/>
        </w:rPr>
        <w:t>Modré světlo před spaním a elektronika na dosah ruky</w:t>
      </w:r>
    </w:p>
    <w:p w14:paraId="1B761052" w14:textId="6D11E111" w:rsidR="003B1592" w:rsidRDefault="008938AF" w:rsidP="00701CC8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8938AF">
        <w:rPr>
          <w:rFonts w:ascii="Calibri" w:hAnsi="Calibri" w:cs="Tahoma"/>
          <w:bCs/>
          <w:noProof/>
          <w:color w:val="000000" w:themeColor="text1"/>
        </w:rPr>
        <w:t>J</w:t>
      </w:r>
      <w:r>
        <w:rPr>
          <w:rFonts w:ascii="Calibri" w:hAnsi="Calibri" w:cs="Tahoma"/>
          <w:bCs/>
          <w:noProof/>
          <w:color w:val="000000" w:themeColor="text1"/>
        </w:rPr>
        <w:t xml:space="preserve">ednou z možností, jak </w:t>
      </w:r>
      <w:r w:rsidR="00BE27E5">
        <w:rPr>
          <w:rFonts w:ascii="Calibri" w:hAnsi="Calibri" w:cs="Tahoma"/>
          <w:bCs/>
          <w:noProof/>
          <w:color w:val="000000" w:themeColor="text1"/>
        </w:rPr>
        <w:t xml:space="preserve">lze kvalitu spánku a hladký průběh usínání </w:t>
      </w:r>
      <w:r>
        <w:rPr>
          <w:rFonts w:ascii="Calibri" w:hAnsi="Calibri" w:cs="Tahoma"/>
          <w:bCs/>
          <w:noProof/>
          <w:color w:val="000000" w:themeColor="text1"/>
        </w:rPr>
        <w:t>podpořit, je omezování modrého světla, které vyzařují</w:t>
      </w:r>
      <w:r w:rsidR="00BE27E5">
        <w:rPr>
          <w:rFonts w:ascii="Calibri" w:hAnsi="Calibri" w:cs="Tahoma"/>
          <w:bCs/>
          <w:noProof/>
          <w:color w:val="000000" w:themeColor="text1"/>
        </w:rPr>
        <w:t xml:space="preserve"> obrazovky námi běžně používaných elektronických zařízení</w:t>
      </w:r>
      <w:r>
        <w:rPr>
          <w:rFonts w:ascii="Calibri" w:hAnsi="Calibri" w:cs="Tahoma"/>
          <w:bCs/>
          <w:noProof/>
          <w:color w:val="000000" w:themeColor="text1"/>
        </w:rPr>
        <w:t xml:space="preserve">. </w:t>
      </w:r>
      <w:r w:rsidR="00F57C1D">
        <w:rPr>
          <w:rFonts w:ascii="Calibri" w:hAnsi="Calibri" w:cs="Tahoma"/>
          <w:b/>
          <w:bCs/>
          <w:noProof/>
          <w:color w:val="000000" w:themeColor="text1"/>
        </w:rPr>
        <w:t>N</w:t>
      </w:r>
      <w:r w:rsidR="00F57C1D" w:rsidRPr="00F57C1D">
        <w:rPr>
          <w:rFonts w:ascii="Calibri" w:hAnsi="Calibri" w:cs="Tahoma"/>
          <w:b/>
          <w:bCs/>
          <w:noProof/>
          <w:color w:val="000000" w:themeColor="text1"/>
        </w:rPr>
        <w:t>ecelá</w:t>
      </w:r>
      <w:r w:rsidR="00F57C1D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Pr="007D40A1">
        <w:rPr>
          <w:rFonts w:ascii="Calibri" w:hAnsi="Calibri" w:cs="Tahoma"/>
          <w:b/>
          <w:bCs/>
          <w:noProof/>
          <w:color w:val="000000" w:themeColor="text1"/>
        </w:rPr>
        <w:t>jedna čtvrtina</w:t>
      </w:r>
      <w:r w:rsidR="001315DA" w:rsidRPr="007D40A1">
        <w:rPr>
          <w:rFonts w:ascii="Calibri" w:hAnsi="Calibri" w:cs="Tahoma"/>
          <w:b/>
          <w:bCs/>
          <w:noProof/>
          <w:color w:val="000000" w:themeColor="text1"/>
        </w:rPr>
        <w:t xml:space="preserve"> internetových</w:t>
      </w:r>
      <w:r w:rsidRPr="007D40A1">
        <w:rPr>
          <w:rFonts w:ascii="Calibri" w:hAnsi="Calibri" w:cs="Tahoma"/>
          <w:b/>
          <w:bCs/>
          <w:noProof/>
          <w:color w:val="000000" w:themeColor="text1"/>
        </w:rPr>
        <w:t xml:space="preserve"> respondentů se snaží před spaním toto světlo omezovat.</w:t>
      </w:r>
      <w:r w:rsidRPr="005242C9">
        <w:rPr>
          <w:rFonts w:ascii="Calibri" w:hAnsi="Calibri" w:cs="Tahoma"/>
          <w:bCs/>
          <w:noProof/>
          <w:color w:val="000000" w:themeColor="text1"/>
        </w:rPr>
        <w:t xml:space="preserve"> Častěji jsou to ženy </w:t>
      </w:r>
      <w:r>
        <w:rPr>
          <w:rFonts w:ascii="Calibri" w:hAnsi="Calibri" w:cs="Tahoma"/>
          <w:bCs/>
          <w:noProof/>
          <w:color w:val="000000" w:themeColor="text1"/>
        </w:rPr>
        <w:t>než muži</w:t>
      </w:r>
      <w:r w:rsidRPr="005242C9">
        <w:rPr>
          <w:rFonts w:ascii="Calibri" w:hAnsi="Calibri" w:cs="Tahoma"/>
          <w:bCs/>
          <w:noProof/>
          <w:color w:val="000000" w:themeColor="text1"/>
        </w:rPr>
        <w:t xml:space="preserve">. </w:t>
      </w:r>
    </w:p>
    <w:p w14:paraId="57803D61" w14:textId="4DA3AECF" w:rsidR="008938AF" w:rsidRDefault="0086416D" w:rsidP="00701CC8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rFonts w:ascii="Calibri" w:hAnsi="Calibri" w:cs="Tahoma"/>
          <w:bCs/>
          <w:noProof/>
          <w:color w:val="000000" w:themeColor="text1"/>
        </w:rPr>
        <w:t>Více než</w:t>
      </w:r>
      <w:r w:rsidR="008938AF" w:rsidRPr="005242C9">
        <w:rPr>
          <w:rFonts w:ascii="Calibri" w:hAnsi="Calibri" w:cs="Tahoma"/>
          <w:bCs/>
          <w:noProof/>
          <w:color w:val="000000" w:themeColor="text1"/>
        </w:rPr>
        <w:t xml:space="preserve"> polovina</w:t>
      </w:r>
      <w:r w:rsidR="008938AF">
        <w:rPr>
          <w:rFonts w:ascii="Calibri" w:hAnsi="Calibri" w:cs="Tahoma"/>
          <w:bCs/>
          <w:noProof/>
          <w:color w:val="000000" w:themeColor="text1"/>
        </w:rPr>
        <w:t xml:space="preserve"> těch, kteří nějak bojují</w:t>
      </w:r>
      <w:r w:rsidR="008938AF" w:rsidRPr="005242C9">
        <w:rPr>
          <w:rFonts w:ascii="Calibri" w:hAnsi="Calibri" w:cs="Tahoma"/>
          <w:bCs/>
          <w:noProof/>
          <w:color w:val="000000" w:themeColor="text1"/>
        </w:rPr>
        <w:t xml:space="preserve"> proti večerní dávce modrého světla</w:t>
      </w:r>
      <w:r w:rsidR="008938AF">
        <w:rPr>
          <w:rFonts w:ascii="Calibri" w:hAnsi="Calibri" w:cs="Tahoma"/>
          <w:bCs/>
          <w:noProof/>
          <w:color w:val="000000" w:themeColor="text1"/>
        </w:rPr>
        <w:t>,</w:t>
      </w:r>
      <w:r w:rsidR="008938AF" w:rsidRPr="005242C9">
        <w:rPr>
          <w:rFonts w:ascii="Calibri" w:hAnsi="Calibri" w:cs="Tahoma"/>
          <w:bCs/>
          <w:noProof/>
          <w:color w:val="000000" w:themeColor="text1"/>
        </w:rPr>
        <w:t xml:space="preserve"> volí jako strategii nepoužívání elek</w:t>
      </w:r>
      <w:r w:rsidR="007D40A1">
        <w:rPr>
          <w:rFonts w:ascii="Calibri" w:hAnsi="Calibri" w:cs="Tahoma"/>
          <w:bCs/>
          <w:noProof/>
          <w:color w:val="000000" w:themeColor="text1"/>
        </w:rPr>
        <w:t>tronických zařízení před spaním. N</w:t>
      </w:r>
      <w:r>
        <w:rPr>
          <w:rFonts w:ascii="Calibri" w:hAnsi="Calibri" w:cs="Tahoma"/>
          <w:bCs/>
          <w:noProof/>
          <w:color w:val="000000" w:themeColor="text1"/>
        </w:rPr>
        <w:t>ecelá</w:t>
      </w:r>
      <w:r w:rsidR="008938AF" w:rsidRPr="005242C9">
        <w:rPr>
          <w:rFonts w:ascii="Calibri" w:hAnsi="Calibri" w:cs="Tahoma"/>
          <w:bCs/>
          <w:noProof/>
          <w:color w:val="000000" w:themeColor="text1"/>
        </w:rPr>
        <w:t xml:space="preserve"> polovina </w:t>
      </w:r>
      <w:r>
        <w:rPr>
          <w:rFonts w:ascii="Calibri" w:hAnsi="Calibri" w:cs="Tahoma"/>
          <w:bCs/>
          <w:noProof/>
          <w:color w:val="000000" w:themeColor="text1"/>
        </w:rPr>
        <w:t xml:space="preserve">pak </w:t>
      </w:r>
      <w:r w:rsidR="008938AF" w:rsidRPr="005242C9">
        <w:rPr>
          <w:rFonts w:ascii="Calibri" w:hAnsi="Calibri" w:cs="Tahoma"/>
          <w:bCs/>
          <w:noProof/>
          <w:color w:val="000000" w:themeColor="text1"/>
        </w:rPr>
        <w:t>snižuje</w:t>
      </w:r>
      <w:r w:rsidR="00BE27E5">
        <w:rPr>
          <w:rFonts w:ascii="Calibri" w:hAnsi="Calibri" w:cs="Tahoma"/>
          <w:bCs/>
          <w:noProof/>
          <w:color w:val="000000" w:themeColor="text1"/>
        </w:rPr>
        <w:t xml:space="preserve"> u</w:t>
      </w:r>
      <w:r w:rsidR="008938AF" w:rsidRPr="005242C9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BE27E5">
        <w:rPr>
          <w:rFonts w:ascii="Calibri" w:hAnsi="Calibri" w:cs="Tahoma"/>
          <w:bCs/>
          <w:noProof/>
          <w:color w:val="000000" w:themeColor="text1"/>
        </w:rPr>
        <w:t>obrazovek</w:t>
      </w:r>
      <w:r w:rsidR="00BE27E5" w:rsidRPr="005242C9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8938AF" w:rsidRPr="005242C9">
        <w:rPr>
          <w:rFonts w:ascii="Calibri" w:hAnsi="Calibri" w:cs="Tahoma"/>
          <w:bCs/>
          <w:noProof/>
          <w:color w:val="000000" w:themeColor="text1"/>
        </w:rPr>
        <w:t xml:space="preserve">jas. Speciální aplikaci pro snížení modrého světla </w:t>
      </w:r>
      <w:r w:rsidR="00BE27E5">
        <w:rPr>
          <w:rFonts w:ascii="Calibri" w:hAnsi="Calibri" w:cs="Tahoma"/>
          <w:bCs/>
          <w:noProof/>
          <w:color w:val="000000" w:themeColor="text1"/>
        </w:rPr>
        <w:t xml:space="preserve">(jako Night Shift, Blue Light Filter, F.lux a podobně) </w:t>
      </w:r>
      <w:r w:rsidR="008938AF" w:rsidRPr="005242C9">
        <w:rPr>
          <w:rFonts w:ascii="Calibri" w:hAnsi="Calibri" w:cs="Tahoma"/>
          <w:bCs/>
          <w:noProof/>
          <w:color w:val="000000" w:themeColor="text1"/>
        </w:rPr>
        <w:t xml:space="preserve">používá pouze čtvrtina </w:t>
      </w:r>
      <w:r>
        <w:rPr>
          <w:rFonts w:ascii="Calibri" w:hAnsi="Calibri" w:cs="Tahoma"/>
          <w:bCs/>
          <w:noProof/>
          <w:color w:val="000000" w:themeColor="text1"/>
        </w:rPr>
        <w:t>z</w:t>
      </w:r>
      <w:r w:rsidR="007B2D8B">
        <w:rPr>
          <w:rFonts w:ascii="Calibri" w:hAnsi="Calibri" w:cs="Tahoma"/>
          <w:bCs/>
          <w:noProof/>
          <w:color w:val="000000" w:themeColor="text1"/>
        </w:rPr>
        <w:t> </w:t>
      </w:r>
      <w:r w:rsidR="008938AF" w:rsidRPr="005242C9">
        <w:rPr>
          <w:rFonts w:ascii="Calibri" w:hAnsi="Calibri" w:cs="Tahoma"/>
          <w:bCs/>
          <w:noProof/>
          <w:color w:val="000000" w:themeColor="text1"/>
        </w:rPr>
        <w:t>respondentů</w:t>
      </w:r>
      <w:r>
        <w:rPr>
          <w:rFonts w:ascii="Calibri" w:hAnsi="Calibri" w:cs="Tahoma"/>
          <w:bCs/>
          <w:noProof/>
          <w:color w:val="000000" w:themeColor="text1"/>
        </w:rPr>
        <w:t>, kteří modré světlo řeší</w:t>
      </w:r>
      <w:r w:rsidR="008938AF" w:rsidRPr="005242C9">
        <w:rPr>
          <w:rFonts w:ascii="Calibri" w:hAnsi="Calibri" w:cs="Tahoma"/>
          <w:bCs/>
          <w:noProof/>
          <w:color w:val="000000" w:themeColor="text1"/>
        </w:rPr>
        <w:t>.</w:t>
      </w:r>
    </w:p>
    <w:p w14:paraId="68A70FAD" w14:textId="650708B4" w:rsidR="00EE5BF8" w:rsidRDefault="009B6959" w:rsidP="00701CC8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65E6E446" wp14:editId="607453C3">
            <wp:simplePos x="0" y="0"/>
            <wp:positionH relativeFrom="margin">
              <wp:align>right</wp:align>
            </wp:positionH>
            <wp:positionV relativeFrom="paragraph">
              <wp:posOffset>94192</wp:posOffset>
            </wp:positionV>
            <wp:extent cx="5760720" cy="313055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91A252D" w14:textId="1CB27768" w:rsidR="008938AF" w:rsidRDefault="009B6959" w:rsidP="00701CC8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7D40A1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0A231F5" wp14:editId="3F0D3069">
            <wp:simplePos x="0" y="0"/>
            <wp:positionH relativeFrom="margin">
              <wp:align>center</wp:align>
            </wp:positionH>
            <wp:positionV relativeFrom="paragraph">
              <wp:posOffset>1606762</wp:posOffset>
            </wp:positionV>
            <wp:extent cx="5110480" cy="3267710"/>
            <wp:effectExtent l="0" t="0" r="0" b="889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16D" w:rsidRPr="007D40A1">
        <w:rPr>
          <w:rFonts w:ascii="Calibri" w:hAnsi="Calibri" w:cs="Tahoma"/>
          <w:b/>
          <w:bCs/>
          <w:noProof/>
          <w:color w:val="000000" w:themeColor="text1"/>
        </w:rPr>
        <w:t xml:space="preserve">Dvě pětiny </w:t>
      </w:r>
      <w:r w:rsidR="001315DA" w:rsidRPr="007D40A1">
        <w:rPr>
          <w:rFonts w:ascii="Calibri" w:hAnsi="Calibri" w:cs="Tahoma"/>
          <w:b/>
          <w:bCs/>
          <w:noProof/>
          <w:color w:val="000000" w:themeColor="text1"/>
        </w:rPr>
        <w:t xml:space="preserve">online </w:t>
      </w:r>
      <w:r w:rsidR="0086416D" w:rsidRPr="007D40A1">
        <w:rPr>
          <w:rFonts w:ascii="Calibri" w:hAnsi="Calibri" w:cs="Tahoma"/>
          <w:b/>
          <w:bCs/>
          <w:noProof/>
          <w:color w:val="000000" w:themeColor="text1"/>
        </w:rPr>
        <w:t>respondentů si také během spánku neodepřou mobilní telefon v dosahu postele, a to navíc v běžném režimu (se zapnutým zvukem).</w:t>
      </w:r>
      <w:r w:rsidR="0086416D" w:rsidRPr="005242C9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86416D">
        <w:rPr>
          <w:rFonts w:ascii="Calibri" w:hAnsi="Calibri" w:cs="Tahoma"/>
          <w:bCs/>
          <w:noProof/>
          <w:color w:val="000000" w:themeColor="text1"/>
        </w:rPr>
        <w:t xml:space="preserve">Ve větší míře se jedná o muže (47 % oproti 35 % žen) a také o dotázané ve věku nad 45 let. </w:t>
      </w:r>
      <w:r w:rsidR="0086416D" w:rsidRPr="005242C9">
        <w:rPr>
          <w:rFonts w:ascii="Calibri" w:hAnsi="Calibri" w:cs="Tahoma"/>
          <w:bCs/>
          <w:noProof/>
          <w:color w:val="000000" w:themeColor="text1"/>
        </w:rPr>
        <w:t>Třetina si na noc vypíná zvuk,</w:t>
      </w:r>
      <w:r w:rsidR="007D40A1">
        <w:rPr>
          <w:rFonts w:ascii="Calibri" w:hAnsi="Calibri" w:cs="Tahoma"/>
          <w:bCs/>
          <w:noProof/>
          <w:color w:val="000000" w:themeColor="text1"/>
        </w:rPr>
        <w:t xml:space="preserve"> případně přepíná telefon do </w:t>
      </w:r>
      <w:r w:rsidR="0086416D">
        <w:rPr>
          <w:rFonts w:ascii="Calibri" w:hAnsi="Calibri" w:cs="Tahoma"/>
          <w:bCs/>
          <w:noProof/>
          <w:color w:val="000000" w:themeColor="text1"/>
        </w:rPr>
        <w:t>módu „letadlo“ nebo „nerušit“ – to naopak více dělají ženy než muži a také mladší respondenti. P</w:t>
      </w:r>
      <w:r w:rsidR="0086416D" w:rsidRPr="005242C9">
        <w:rPr>
          <w:rFonts w:ascii="Calibri" w:hAnsi="Calibri" w:cs="Tahoma"/>
          <w:bCs/>
          <w:noProof/>
          <w:color w:val="000000" w:themeColor="text1"/>
        </w:rPr>
        <w:t>ouhá pětina nechává telefon v jiné místnosti, př</w:t>
      </w:r>
      <w:r w:rsidR="0086416D">
        <w:rPr>
          <w:rFonts w:ascii="Calibri" w:hAnsi="Calibri" w:cs="Tahoma"/>
          <w:bCs/>
          <w:noProof/>
          <w:color w:val="000000" w:themeColor="text1"/>
        </w:rPr>
        <w:t>ípadně</w:t>
      </w:r>
      <w:r w:rsidR="0086416D" w:rsidRPr="005242C9">
        <w:rPr>
          <w:rFonts w:ascii="Calibri" w:hAnsi="Calibri" w:cs="Tahoma"/>
          <w:bCs/>
          <w:noProof/>
          <w:color w:val="000000" w:themeColor="text1"/>
        </w:rPr>
        <w:t xml:space="preserve"> na druhém konci místnosti (častěji starší lidé a lidé </w:t>
      </w:r>
      <w:r w:rsidR="00166E9F">
        <w:rPr>
          <w:rFonts w:ascii="Calibri" w:hAnsi="Calibri" w:cs="Tahoma"/>
          <w:bCs/>
          <w:noProof/>
          <w:color w:val="000000" w:themeColor="text1"/>
        </w:rPr>
        <w:t xml:space="preserve">z </w:t>
      </w:r>
      <w:r w:rsidR="0086416D" w:rsidRPr="005242C9">
        <w:rPr>
          <w:rFonts w:ascii="Calibri" w:hAnsi="Calibri" w:cs="Tahoma"/>
          <w:bCs/>
          <w:noProof/>
          <w:color w:val="000000" w:themeColor="text1"/>
        </w:rPr>
        <w:t>menší</w:t>
      </w:r>
      <w:r w:rsidR="007D40A1">
        <w:rPr>
          <w:rFonts w:ascii="Calibri" w:hAnsi="Calibri" w:cs="Tahoma"/>
          <w:bCs/>
          <w:noProof/>
          <w:color w:val="000000" w:themeColor="text1"/>
        </w:rPr>
        <w:t>ch obcí)</w:t>
      </w:r>
      <w:r w:rsidR="00A15750">
        <w:rPr>
          <w:rFonts w:ascii="Calibri" w:hAnsi="Calibri" w:cs="Tahoma"/>
          <w:bCs/>
          <w:noProof/>
          <w:color w:val="000000" w:themeColor="text1"/>
        </w:rPr>
        <w:t xml:space="preserve">. </w:t>
      </w:r>
      <w:r w:rsidR="0086416D" w:rsidRPr="005242C9">
        <w:rPr>
          <w:rFonts w:ascii="Calibri" w:hAnsi="Calibri" w:cs="Tahoma"/>
          <w:bCs/>
          <w:noProof/>
          <w:color w:val="000000" w:themeColor="text1"/>
        </w:rPr>
        <w:t>6 % dotázaných telefon na noc úplně vypíná.</w:t>
      </w:r>
    </w:p>
    <w:p w14:paraId="580CB4EE" w14:textId="7D1016C5" w:rsidR="007D40A1" w:rsidRPr="007D40A1" w:rsidRDefault="007D40A1" w:rsidP="00701CC8">
      <w:pPr>
        <w:spacing w:after="240" w:line="360" w:lineRule="exact"/>
        <w:jc w:val="both"/>
        <w:rPr>
          <w:rFonts w:ascii="Calibri" w:hAnsi="Calibri" w:cs="Tahoma"/>
          <w:b/>
          <w:bCs/>
          <w:noProof/>
          <w:color w:val="FF9900"/>
        </w:rPr>
      </w:pPr>
      <w:r w:rsidRPr="007D40A1">
        <w:rPr>
          <w:rFonts w:ascii="Calibri" w:hAnsi="Calibri" w:cs="Tahoma"/>
          <w:b/>
          <w:bCs/>
          <w:noProof/>
          <w:color w:val="FF9900"/>
        </w:rPr>
        <w:lastRenderedPageBreak/>
        <w:t>Medikamenty, bylinky a jiné prostředky pro lepší spaní</w:t>
      </w:r>
    </w:p>
    <w:p w14:paraId="4ABF23E6" w14:textId="0408936F" w:rsidR="0086416D" w:rsidRDefault="0086416D" w:rsidP="00701CC8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rFonts w:ascii="Calibri" w:hAnsi="Calibri" w:cs="Tahoma"/>
          <w:bCs/>
          <w:noProof/>
          <w:color w:val="000000" w:themeColor="text1"/>
        </w:rPr>
        <w:t>Dalším způsobem, jak podpořit kvalitu spánku, může pro někoho být použití</w:t>
      </w:r>
      <w:r w:rsidR="005242C9" w:rsidRPr="005242C9">
        <w:rPr>
          <w:rFonts w:ascii="Calibri" w:hAnsi="Calibri" w:cs="Tahoma"/>
          <w:bCs/>
          <w:noProof/>
          <w:color w:val="000000" w:themeColor="text1"/>
        </w:rPr>
        <w:t xml:space="preserve"> nějakého přípravku, prostředku či pomůcky</w:t>
      </w:r>
      <w:r>
        <w:rPr>
          <w:rFonts w:ascii="Calibri" w:hAnsi="Calibri" w:cs="Tahoma"/>
          <w:bCs/>
          <w:noProof/>
          <w:color w:val="000000" w:themeColor="text1"/>
        </w:rPr>
        <w:t xml:space="preserve">. Z respondentů výzkumu Nielsen Admosphere </w:t>
      </w:r>
      <w:r w:rsidR="00A15750">
        <w:rPr>
          <w:rFonts w:ascii="Calibri" w:hAnsi="Calibri" w:cs="Tahoma"/>
          <w:bCs/>
          <w:noProof/>
          <w:color w:val="000000" w:themeColor="text1"/>
        </w:rPr>
        <w:t xml:space="preserve">se </w:t>
      </w:r>
      <w:r w:rsidR="00A15750" w:rsidRPr="007D40A1">
        <w:rPr>
          <w:rFonts w:ascii="Calibri" w:hAnsi="Calibri" w:cs="Tahoma"/>
          <w:b/>
          <w:bCs/>
          <w:noProof/>
          <w:color w:val="000000" w:themeColor="text1"/>
        </w:rPr>
        <w:t>k této možnosti kloní</w:t>
      </w:r>
      <w:r w:rsidR="005242C9" w:rsidRPr="007D40A1">
        <w:rPr>
          <w:rFonts w:ascii="Calibri" w:hAnsi="Calibri" w:cs="Tahoma"/>
          <w:b/>
          <w:bCs/>
          <w:noProof/>
          <w:color w:val="000000" w:themeColor="text1"/>
        </w:rPr>
        <w:t xml:space="preserve"> 15 % respondentů</w:t>
      </w:r>
      <w:r w:rsidR="005242C9" w:rsidRPr="005242C9">
        <w:rPr>
          <w:rFonts w:ascii="Calibri" w:hAnsi="Calibri" w:cs="Tahoma"/>
          <w:bCs/>
          <w:noProof/>
          <w:color w:val="000000" w:themeColor="text1"/>
        </w:rPr>
        <w:t xml:space="preserve">. S věkem využívání těchto </w:t>
      </w:r>
      <w:r>
        <w:rPr>
          <w:rFonts w:ascii="Calibri" w:hAnsi="Calibri" w:cs="Tahoma"/>
          <w:bCs/>
          <w:noProof/>
          <w:color w:val="000000" w:themeColor="text1"/>
        </w:rPr>
        <w:t>podpůrných opatření</w:t>
      </w:r>
      <w:r w:rsidRPr="005242C9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5242C9" w:rsidRPr="005242C9">
        <w:rPr>
          <w:rFonts w:ascii="Calibri" w:hAnsi="Calibri" w:cs="Tahoma"/>
          <w:bCs/>
          <w:noProof/>
          <w:color w:val="000000" w:themeColor="text1"/>
        </w:rPr>
        <w:t xml:space="preserve">stoupá. </w:t>
      </w:r>
    </w:p>
    <w:p w14:paraId="5D5CE3D1" w14:textId="1D2CD852" w:rsidR="00A15750" w:rsidRDefault="0086416D" w:rsidP="00701CC8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rFonts w:ascii="Calibri" w:hAnsi="Calibri" w:cs="Tahoma"/>
          <w:bCs/>
          <w:noProof/>
          <w:color w:val="000000" w:themeColor="text1"/>
        </w:rPr>
        <w:t>M</w:t>
      </w:r>
      <w:r w:rsidR="00A15750">
        <w:rPr>
          <w:rFonts w:ascii="Calibri" w:hAnsi="Calibri" w:cs="Tahoma"/>
          <w:bCs/>
          <w:noProof/>
          <w:color w:val="000000" w:themeColor="text1"/>
        </w:rPr>
        <w:t>ezi nejčastěji používané</w:t>
      </w:r>
      <w:r>
        <w:rPr>
          <w:rFonts w:ascii="Calibri" w:hAnsi="Calibri" w:cs="Tahoma"/>
          <w:bCs/>
          <w:noProof/>
          <w:color w:val="000000" w:themeColor="text1"/>
        </w:rPr>
        <w:t xml:space="preserve"> přípravky pro podporu spánku patří </w:t>
      </w:r>
      <w:r w:rsidR="00A15750">
        <w:rPr>
          <w:rFonts w:ascii="Calibri" w:hAnsi="Calibri" w:cs="Tahoma"/>
          <w:bCs/>
          <w:noProof/>
          <w:color w:val="000000" w:themeColor="text1"/>
        </w:rPr>
        <w:t xml:space="preserve">dle odpovědí dotázaných </w:t>
      </w:r>
      <w:r w:rsidRPr="005242C9">
        <w:rPr>
          <w:rFonts w:ascii="Calibri" w:hAnsi="Calibri" w:cs="Tahoma"/>
          <w:bCs/>
          <w:noProof/>
          <w:color w:val="000000" w:themeColor="text1"/>
        </w:rPr>
        <w:t>volně dostupné léky a doplňky stravy</w:t>
      </w:r>
      <w:r>
        <w:rPr>
          <w:rFonts w:ascii="Calibri" w:hAnsi="Calibri" w:cs="Tahoma"/>
          <w:bCs/>
          <w:noProof/>
          <w:color w:val="000000" w:themeColor="text1"/>
        </w:rPr>
        <w:t xml:space="preserve">, čaje, ale i </w:t>
      </w:r>
      <w:r w:rsidR="005242C9" w:rsidRPr="005242C9">
        <w:rPr>
          <w:rFonts w:ascii="Calibri" w:hAnsi="Calibri" w:cs="Tahoma"/>
          <w:bCs/>
          <w:noProof/>
          <w:color w:val="000000" w:themeColor="text1"/>
        </w:rPr>
        <w:t>léky předepsané lékařem</w:t>
      </w:r>
      <w:r>
        <w:rPr>
          <w:rFonts w:ascii="Calibri" w:hAnsi="Calibri" w:cs="Tahoma"/>
          <w:bCs/>
          <w:noProof/>
          <w:color w:val="000000" w:themeColor="text1"/>
        </w:rPr>
        <w:t>.</w:t>
      </w:r>
    </w:p>
    <w:p w14:paraId="46B8E234" w14:textId="4CC11CEA" w:rsidR="007D40A1" w:rsidRPr="007D40A1" w:rsidRDefault="007D40A1" w:rsidP="00701CC8">
      <w:pPr>
        <w:spacing w:after="240" w:line="360" w:lineRule="exact"/>
        <w:jc w:val="both"/>
        <w:rPr>
          <w:rFonts w:ascii="Calibri" w:hAnsi="Calibri" w:cs="Tahoma"/>
          <w:b/>
          <w:bCs/>
          <w:noProof/>
          <w:color w:val="FF9900"/>
        </w:rPr>
      </w:pPr>
      <w:r w:rsidRPr="007D40A1">
        <w:rPr>
          <w:rFonts w:ascii="Calibri" w:hAnsi="Calibri" w:cs="Tahoma"/>
          <w:b/>
          <w:bCs/>
          <w:noProof/>
          <w:color w:val="FF9900"/>
        </w:rPr>
        <w:t>Hlavně se nestresovat…</w:t>
      </w:r>
    </w:p>
    <w:p w14:paraId="6AB7A24F" w14:textId="2F531F71" w:rsidR="0086416D" w:rsidRDefault="00A15750" w:rsidP="00701CC8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7D40A1">
        <w:rPr>
          <w:rFonts w:ascii="Calibri" w:hAnsi="Calibri" w:cs="Tahoma"/>
          <w:b/>
          <w:bCs/>
          <w:noProof/>
          <w:color w:val="000000" w:themeColor="text1"/>
        </w:rPr>
        <w:t>Polovina respondentů se také před spánkem brání řešení důležitých pracovních či rodinných záležitostí</w:t>
      </w:r>
      <w:r>
        <w:rPr>
          <w:rFonts w:ascii="Calibri" w:hAnsi="Calibri" w:cs="Tahoma"/>
          <w:bCs/>
          <w:noProof/>
          <w:color w:val="000000" w:themeColor="text1"/>
        </w:rPr>
        <w:t xml:space="preserve"> – buď je v tuto dobu neřeší vůbec,</w:t>
      </w:r>
      <w:r w:rsidRPr="005242C9">
        <w:rPr>
          <w:rFonts w:ascii="Calibri" w:hAnsi="Calibri" w:cs="Tahoma"/>
          <w:bCs/>
          <w:noProof/>
          <w:color w:val="000000" w:themeColor="text1"/>
        </w:rPr>
        <w:t xml:space="preserve"> neb</w:t>
      </w:r>
      <w:r w:rsidR="00583700">
        <w:rPr>
          <w:rFonts w:ascii="Calibri" w:hAnsi="Calibri" w:cs="Tahoma"/>
          <w:bCs/>
          <w:noProof/>
          <w:color w:val="000000" w:themeColor="text1"/>
        </w:rPr>
        <w:t>o</w:t>
      </w:r>
      <w:r>
        <w:rPr>
          <w:rFonts w:ascii="Calibri" w:hAnsi="Calibri" w:cs="Tahoma"/>
          <w:bCs/>
          <w:noProof/>
          <w:color w:val="000000" w:themeColor="text1"/>
        </w:rPr>
        <w:t xml:space="preserve"> </w:t>
      </w:r>
      <w:r w:rsidRPr="005242C9">
        <w:rPr>
          <w:rFonts w:ascii="Calibri" w:hAnsi="Calibri" w:cs="Tahoma"/>
          <w:bCs/>
          <w:noProof/>
          <w:color w:val="000000" w:themeColor="text1"/>
        </w:rPr>
        <w:t>méně často než jednou týdně. S</w:t>
      </w:r>
      <w:r w:rsidR="00583700">
        <w:rPr>
          <w:rFonts w:ascii="Calibri" w:hAnsi="Calibri" w:cs="Tahoma"/>
          <w:bCs/>
          <w:noProof/>
          <w:color w:val="000000" w:themeColor="text1"/>
        </w:rPr>
        <w:t xml:space="preserve"> vyšším</w:t>
      </w:r>
      <w:r w:rsidRPr="005242C9">
        <w:rPr>
          <w:rFonts w:ascii="Calibri" w:hAnsi="Calibri" w:cs="Tahoma"/>
          <w:bCs/>
          <w:noProof/>
          <w:color w:val="000000" w:themeColor="text1"/>
        </w:rPr>
        <w:t xml:space="preserve"> věkem </w:t>
      </w:r>
      <w:r w:rsidR="00583700">
        <w:rPr>
          <w:rFonts w:ascii="Calibri" w:hAnsi="Calibri" w:cs="Tahoma"/>
          <w:bCs/>
          <w:noProof/>
          <w:color w:val="000000" w:themeColor="text1"/>
        </w:rPr>
        <w:t xml:space="preserve">řeší </w:t>
      </w:r>
      <w:r w:rsidRPr="005242C9">
        <w:rPr>
          <w:rFonts w:ascii="Calibri" w:hAnsi="Calibri" w:cs="Tahoma"/>
          <w:bCs/>
          <w:noProof/>
          <w:color w:val="000000" w:themeColor="text1"/>
        </w:rPr>
        <w:t xml:space="preserve">respondenti večer </w:t>
      </w:r>
      <w:r>
        <w:rPr>
          <w:rFonts w:ascii="Calibri" w:hAnsi="Calibri" w:cs="Tahoma"/>
          <w:bCs/>
          <w:noProof/>
          <w:color w:val="000000" w:themeColor="text1"/>
        </w:rPr>
        <w:t>důležité věci</w:t>
      </w:r>
      <w:r w:rsidR="00583700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Pr="005242C9">
        <w:rPr>
          <w:rFonts w:ascii="Calibri" w:hAnsi="Calibri" w:cs="Tahoma"/>
          <w:bCs/>
          <w:noProof/>
          <w:color w:val="000000" w:themeColor="text1"/>
        </w:rPr>
        <w:t xml:space="preserve">méně (respondenti ve věku </w:t>
      </w:r>
      <w:r w:rsidR="00583700">
        <w:rPr>
          <w:rFonts w:ascii="Calibri" w:hAnsi="Calibri" w:cs="Tahoma"/>
          <w:bCs/>
          <w:noProof/>
          <w:color w:val="000000" w:themeColor="text1"/>
        </w:rPr>
        <w:t xml:space="preserve">nad </w:t>
      </w:r>
      <w:r w:rsidRPr="005242C9">
        <w:rPr>
          <w:rFonts w:ascii="Calibri" w:hAnsi="Calibri" w:cs="Tahoma"/>
          <w:bCs/>
          <w:noProof/>
          <w:color w:val="000000" w:themeColor="text1"/>
        </w:rPr>
        <w:t xml:space="preserve">45 let řeší </w:t>
      </w:r>
      <w:r w:rsidR="00583700" w:rsidRPr="005242C9">
        <w:rPr>
          <w:rFonts w:ascii="Calibri" w:hAnsi="Calibri" w:cs="Tahoma"/>
          <w:bCs/>
          <w:noProof/>
          <w:color w:val="000000" w:themeColor="text1"/>
        </w:rPr>
        <w:t>v 64 %</w:t>
      </w:r>
      <w:r w:rsidR="00583700">
        <w:rPr>
          <w:rFonts w:ascii="Calibri" w:hAnsi="Calibri" w:cs="Tahoma"/>
          <w:bCs/>
          <w:noProof/>
          <w:color w:val="000000" w:themeColor="text1"/>
        </w:rPr>
        <w:t xml:space="preserve"> případů potenciálně </w:t>
      </w:r>
      <w:r w:rsidRPr="005242C9">
        <w:rPr>
          <w:rFonts w:ascii="Calibri" w:hAnsi="Calibri" w:cs="Tahoma"/>
          <w:bCs/>
          <w:noProof/>
          <w:color w:val="000000" w:themeColor="text1"/>
        </w:rPr>
        <w:t xml:space="preserve">rozrušující záležitosti </w:t>
      </w:r>
      <w:r w:rsidR="00583700">
        <w:rPr>
          <w:rFonts w:ascii="Calibri" w:hAnsi="Calibri" w:cs="Tahoma"/>
          <w:bCs/>
          <w:noProof/>
          <w:color w:val="000000" w:themeColor="text1"/>
        </w:rPr>
        <w:t xml:space="preserve">před spaním </w:t>
      </w:r>
      <w:r w:rsidRPr="005242C9">
        <w:rPr>
          <w:rFonts w:ascii="Calibri" w:hAnsi="Calibri" w:cs="Tahoma"/>
          <w:bCs/>
          <w:noProof/>
          <w:color w:val="000000" w:themeColor="text1"/>
        </w:rPr>
        <w:t xml:space="preserve">méně než jednou týdně). </w:t>
      </w:r>
      <w:r w:rsidR="00F97CF3" w:rsidRPr="003B1592">
        <w:rPr>
          <w:rFonts w:ascii="Calibri" w:hAnsi="Calibri" w:cs="Tahoma"/>
          <w:bCs/>
          <w:noProof/>
          <w:color w:val="000000" w:themeColor="text1"/>
        </w:rPr>
        <w:t>Č</w:t>
      </w:r>
      <w:r w:rsidR="00802088" w:rsidRPr="003B1592">
        <w:rPr>
          <w:rFonts w:ascii="Calibri" w:hAnsi="Calibri" w:cs="Tahoma"/>
          <w:bCs/>
          <w:noProof/>
          <w:color w:val="000000" w:themeColor="text1"/>
        </w:rPr>
        <w:t>astěji</w:t>
      </w:r>
      <w:r w:rsidR="00F97CF3" w:rsidRPr="003B1592">
        <w:rPr>
          <w:rFonts w:ascii="Calibri" w:hAnsi="Calibri" w:cs="Tahoma"/>
          <w:bCs/>
          <w:noProof/>
          <w:color w:val="000000" w:themeColor="text1"/>
        </w:rPr>
        <w:t xml:space="preserve"> se večer těmito věcmi</w:t>
      </w:r>
      <w:r w:rsidR="00802088" w:rsidRPr="003B1592">
        <w:rPr>
          <w:rFonts w:ascii="Calibri" w:hAnsi="Calibri" w:cs="Tahoma"/>
          <w:bCs/>
          <w:noProof/>
          <w:color w:val="000000" w:themeColor="text1"/>
        </w:rPr>
        <w:t xml:space="preserve"> zabývají respondenti s dětmi (</w:t>
      </w:r>
      <w:r w:rsidR="00F97CF3" w:rsidRPr="003B1592">
        <w:rPr>
          <w:rFonts w:ascii="Calibri" w:hAnsi="Calibri" w:cs="Tahoma"/>
          <w:bCs/>
          <w:noProof/>
          <w:color w:val="000000" w:themeColor="text1"/>
        </w:rPr>
        <w:t>alespoň jednou týdně 63</w:t>
      </w:r>
      <w:r w:rsidR="00802088" w:rsidRPr="003B1592">
        <w:rPr>
          <w:rFonts w:ascii="Calibri" w:hAnsi="Calibri" w:cs="Tahoma"/>
          <w:bCs/>
          <w:noProof/>
          <w:color w:val="000000" w:themeColor="text1"/>
        </w:rPr>
        <w:t xml:space="preserve"> %</w:t>
      </w:r>
      <w:r w:rsidR="00F97CF3" w:rsidRPr="003B1592">
        <w:rPr>
          <w:rFonts w:ascii="Calibri" w:hAnsi="Calibri" w:cs="Tahoma"/>
          <w:bCs/>
          <w:noProof/>
          <w:color w:val="000000" w:themeColor="text1"/>
        </w:rPr>
        <w:t xml:space="preserve"> z nich</w:t>
      </w:r>
      <w:r w:rsidR="00802088" w:rsidRPr="003B1592">
        <w:rPr>
          <w:rFonts w:ascii="Calibri" w:hAnsi="Calibri" w:cs="Tahoma"/>
          <w:bCs/>
          <w:noProof/>
          <w:color w:val="000000" w:themeColor="text1"/>
        </w:rPr>
        <w:t xml:space="preserve">) než bezdětní </w:t>
      </w:r>
      <w:r w:rsidR="003B1592">
        <w:rPr>
          <w:rFonts w:ascii="Calibri" w:hAnsi="Calibri" w:cs="Tahoma"/>
          <w:bCs/>
          <w:noProof/>
          <w:color w:val="000000" w:themeColor="text1"/>
        </w:rPr>
        <w:t>(ve stejné frekvenci 43 </w:t>
      </w:r>
      <w:r w:rsidR="00F97CF3" w:rsidRPr="003B1592">
        <w:rPr>
          <w:rFonts w:ascii="Calibri" w:hAnsi="Calibri" w:cs="Tahoma"/>
          <w:bCs/>
          <w:noProof/>
          <w:color w:val="000000" w:themeColor="text1"/>
        </w:rPr>
        <w:t>%)</w:t>
      </w:r>
      <w:r w:rsidR="00802088" w:rsidRPr="003B1592">
        <w:rPr>
          <w:rFonts w:ascii="Calibri" w:hAnsi="Calibri" w:cs="Tahoma"/>
          <w:bCs/>
          <w:noProof/>
          <w:color w:val="000000" w:themeColor="text1"/>
        </w:rPr>
        <w:t>.</w:t>
      </w:r>
      <w:r w:rsidR="00F97CF3">
        <w:rPr>
          <w:rFonts w:ascii="Calibri" w:hAnsi="Calibri" w:cs="Tahoma"/>
          <w:bCs/>
          <w:noProof/>
          <w:color w:val="000000" w:themeColor="text1"/>
        </w:rPr>
        <w:t xml:space="preserve"> </w:t>
      </w:r>
    </w:p>
    <w:p w14:paraId="61399FF2" w14:textId="26B445E2" w:rsidR="00A15750" w:rsidRPr="007D40A1" w:rsidRDefault="00A15750" w:rsidP="00701CC8">
      <w:pPr>
        <w:spacing w:after="240" w:line="360" w:lineRule="exact"/>
        <w:jc w:val="both"/>
        <w:rPr>
          <w:rFonts w:ascii="Calibri" w:hAnsi="Calibri" w:cs="Tahoma"/>
          <w:b/>
          <w:bCs/>
          <w:noProof/>
          <w:color w:val="FF9900"/>
        </w:rPr>
      </w:pPr>
      <w:r w:rsidRPr="007D40A1">
        <w:rPr>
          <w:rFonts w:ascii="Calibri" w:hAnsi="Calibri" w:cs="Tahoma"/>
          <w:b/>
          <w:bCs/>
          <w:noProof/>
          <w:color w:val="FF9900"/>
        </w:rPr>
        <w:t xml:space="preserve">A </w:t>
      </w:r>
      <w:r w:rsidR="007D40A1" w:rsidRPr="007D40A1">
        <w:rPr>
          <w:rFonts w:ascii="Calibri" w:hAnsi="Calibri" w:cs="Tahoma"/>
          <w:b/>
          <w:bCs/>
          <w:noProof/>
          <w:color w:val="FF9900"/>
        </w:rPr>
        <w:t>co délka spánku?</w:t>
      </w:r>
    </w:p>
    <w:p w14:paraId="1178FFAC" w14:textId="77777777" w:rsidR="003B1592" w:rsidRDefault="00701CC8" w:rsidP="00701CC8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7D40A1">
        <w:rPr>
          <w:rFonts w:ascii="Calibri" w:hAnsi="Calibri" w:cs="Tahoma"/>
          <w:b/>
          <w:bCs/>
          <w:noProof/>
          <w:color w:val="000000" w:themeColor="text1"/>
        </w:rPr>
        <w:t>Osm z deseti</w:t>
      </w:r>
      <w:r w:rsidR="005242C9" w:rsidRPr="007D40A1">
        <w:rPr>
          <w:rFonts w:ascii="Calibri" w:hAnsi="Calibri" w:cs="Tahoma"/>
          <w:b/>
          <w:bCs/>
          <w:noProof/>
          <w:color w:val="000000" w:themeColor="text1"/>
        </w:rPr>
        <w:t xml:space="preserve"> respondentů spí 6–8 hodin během pracovních dní</w:t>
      </w:r>
      <w:r w:rsidR="005242C9" w:rsidRPr="005242C9">
        <w:rPr>
          <w:rFonts w:ascii="Calibri" w:hAnsi="Calibri" w:cs="Tahoma"/>
          <w:bCs/>
          <w:noProof/>
          <w:color w:val="000000" w:themeColor="text1"/>
        </w:rPr>
        <w:t xml:space="preserve">, 6 % dotázaných spí delší dobu. Během víkendů si respondenti obvykle přispí, 9 a více hodin v tyto dny spí pětinásobně víc respondentů (32 %). Rozdíl v průměrné délce spánku mezi pracovními dny a víkendy se v rodinách s dětmi zvyšuje s věkem dítěte. </w:t>
      </w:r>
    </w:p>
    <w:p w14:paraId="1AA0B770" w14:textId="11C6F5E2" w:rsidR="00583700" w:rsidRDefault="00583700" w:rsidP="00701CC8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rFonts w:ascii="Calibri" w:hAnsi="Calibri" w:cs="Tahoma"/>
          <w:bCs/>
          <w:noProof/>
          <w:color w:val="000000" w:themeColor="text1"/>
        </w:rPr>
        <w:t>Více než dvě pětiny ze všech dotazovaných také nemají ve zvyku ulehat a vstávat vždy ve stejnou dobu. 54 % se to daří v pracovních dnech a 28 % o víkendu.</w:t>
      </w:r>
    </w:p>
    <w:p w14:paraId="01C3A821" w14:textId="491B1FFD" w:rsidR="005B75D5" w:rsidRPr="00815CF0" w:rsidRDefault="005B75D5" w:rsidP="00F05C36">
      <w:pPr>
        <w:spacing w:after="240" w:line="360" w:lineRule="exact"/>
        <w:contextualSpacing/>
        <w:rPr>
          <w:rFonts w:ascii="Calibri" w:hAnsi="Calibri"/>
          <w:b/>
          <w:bCs/>
          <w:color w:val="000000" w:themeColor="text1"/>
        </w:rPr>
      </w:pPr>
    </w:p>
    <w:p w14:paraId="4A159CFB" w14:textId="77777777"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10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14:paraId="3A341C5B" w14:textId="77777777" w:rsidR="00F05C36" w:rsidRPr="00C2072A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r w:rsidRPr="00C2072A">
        <w:rPr>
          <w:rFonts w:ascii="Calibri" w:hAnsi="Calibri"/>
        </w:rPr>
        <w:t xml:space="preserve">Nielsen Admosphere, a.s.| Českobratrská 2778/1 | 130 00 Praha 3 | tel.: +420 222 717 763 | </w:t>
      </w:r>
      <w:hyperlink r:id="rId11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7C30B15C" w14:textId="77777777" w:rsidR="00607FC9" w:rsidRPr="00C2072A" w:rsidRDefault="00607FC9" w:rsidP="00F05C36">
      <w:pPr>
        <w:spacing w:after="240"/>
        <w:contextualSpacing/>
        <w:rPr>
          <w:rStyle w:val="Hypertextovodkaz"/>
          <w:rFonts w:ascii="Calibri" w:hAnsi="Calibri"/>
        </w:rPr>
      </w:pPr>
    </w:p>
    <w:p w14:paraId="7311229C" w14:textId="77777777" w:rsidR="00F05C36" w:rsidRPr="00815CF0" w:rsidRDefault="00F05C36" w:rsidP="00F05C36">
      <w:pPr>
        <w:pStyle w:val="Dokumenttext"/>
        <w:rPr>
          <w:b/>
          <w:color w:val="000000" w:themeColor="text1"/>
        </w:rPr>
      </w:pPr>
      <w:r w:rsidRPr="00815CF0">
        <w:rPr>
          <w:b/>
          <w:color w:val="000000" w:themeColor="text1"/>
        </w:rPr>
        <w:t>Doplňující informace:</w:t>
      </w:r>
    </w:p>
    <w:p w14:paraId="7369B52D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r w:rsidRPr="00C2072A">
        <w:rPr>
          <w:b/>
          <w:color w:val="808080"/>
          <w:sz w:val="20"/>
          <w:szCs w:val="20"/>
        </w:rPr>
        <w:t>Nielsen Admosphere</w:t>
      </w:r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2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monitoringu reklamy, marketingovému výzkumu (onli</w:t>
      </w:r>
      <w:r w:rsidR="009B3D13"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 xml:space="preserve">my…) a analýze </w:t>
      </w:r>
      <w:r w:rsidRPr="00C2072A">
        <w:rPr>
          <w:color w:val="808080"/>
          <w:sz w:val="20"/>
          <w:szCs w:val="20"/>
        </w:rPr>
        <w:lastRenderedPageBreak/>
        <w:t>dat a nabízí komplexní servis spolehlivé výzkumné agentury se zázemím mezinárodní výzkumné společnosti Nielsen.</w:t>
      </w:r>
    </w:p>
    <w:p w14:paraId="39587EF4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>Součástí skupiny Nielsen Admosphere je i společnost Adwind Software, která vyvíjí software pro práci s daty z výzkumů sledovanosti a monitoringu reklamy.</w:t>
      </w:r>
    </w:p>
    <w:p w14:paraId="130B1702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b/>
          <w:color w:val="808080"/>
          <w:sz w:val="20"/>
          <w:szCs w:val="20"/>
        </w:rPr>
        <w:t>Český národní panel</w:t>
      </w:r>
      <w:r w:rsidRPr="00C2072A">
        <w:rPr>
          <w:color w:val="808080"/>
          <w:sz w:val="20"/>
          <w:szCs w:val="20"/>
        </w:rPr>
        <w:t xml:space="preserve"> (</w:t>
      </w:r>
      <w:hyperlink r:id="rId13" w:history="1">
        <w:r w:rsidRPr="00C2072A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C2072A">
        <w:rPr>
          <w:color w:val="808080"/>
          <w:sz w:val="20"/>
          <w:szCs w:val="20"/>
        </w:rPr>
        <w:t>) je jedním z největších výzkumných panelů v Česku, na Slovensku (Slovenský národný panel – SNaP), v Polsku, v Maďarsku a v Bulharsku. Jeho spoluvlastníkem je výzkumná agentura Nielsen Admosphere. Panel slouží pro kvalitní a rychlé on-line sběry dat o internetové populaci. Disponuje početnou skupinou 50 000 respondentů v České republice, 25 000 respondentů na Slovensku, 17 000 v Polsku, 17 000 v Maďarsku a 10 000 v Bulharsku.</w:t>
      </w:r>
    </w:p>
    <w:p w14:paraId="2B7E5C54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 wp14:anchorId="5BA67FBE" wp14:editId="1D7F72A5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5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14:paraId="29A8C9A0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</w:p>
    <w:p w14:paraId="4B4BC110" w14:textId="77777777" w:rsidR="00F43807" w:rsidRPr="00C2072A" w:rsidRDefault="00F43807" w:rsidP="00F05C36"/>
    <w:sectPr w:rsidR="00F43807" w:rsidRPr="00C2072A" w:rsidSect="00F05C36">
      <w:headerReference w:type="default" r:id="rId16"/>
      <w:footerReference w:type="default" r:id="rId17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83BB" w14:textId="77777777" w:rsidR="00A27EC9" w:rsidRDefault="00A27EC9" w:rsidP="00F41A48">
      <w:pPr>
        <w:spacing w:after="0" w:line="240" w:lineRule="auto"/>
      </w:pPr>
      <w:r>
        <w:separator/>
      </w:r>
    </w:p>
  </w:endnote>
  <w:endnote w:type="continuationSeparator" w:id="0">
    <w:p w14:paraId="1C3D13FD" w14:textId="77777777" w:rsidR="00A27EC9" w:rsidRDefault="00A27EC9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73E55C67" w14:textId="5F17E93D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AB4">
          <w:rPr>
            <w:noProof/>
          </w:rPr>
          <w:t>2</w:t>
        </w:r>
        <w:r>
          <w:fldChar w:fldCharType="end"/>
        </w:r>
      </w:p>
    </w:sdtContent>
  </w:sdt>
  <w:p w14:paraId="4116C511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8E3A" w14:textId="77777777" w:rsidR="00A27EC9" w:rsidRDefault="00A27EC9" w:rsidP="00F41A48">
      <w:pPr>
        <w:spacing w:after="0" w:line="240" w:lineRule="auto"/>
      </w:pPr>
      <w:r>
        <w:separator/>
      </w:r>
    </w:p>
  </w:footnote>
  <w:footnote w:type="continuationSeparator" w:id="0">
    <w:p w14:paraId="3B884ABB" w14:textId="77777777" w:rsidR="00A27EC9" w:rsidRDefault="00A27EC9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7907" w14:textId="77777777"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6B134474" wp14:editId="5D35FAD8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>TISKOVÁ ZPRÁVA</w:t>
    </w:r>
  </w:p>
  <w:p w14:paraId="184CC9DA" w14:textId="388EE79F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AE50F1A" wp14:editId="40814218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 xml:space="preserve">Nielsen Admosphere, a.s., Praha, </w:t>
    </w:r>
    <w:r w:rsidR="00B92B0F">
      <w:rPr>
        <w:b/>
      </w:rPr>
      <w:t>30</w:t>
    </w:r>
    <w:r w:rsidR="00EB13DD">
      <w:rPr>
        <w:b/>
      </w:rPr>
      <w:t xml:space="preserve">. </w:t>
    </w:r>
    <w:r w:rsidR="00701CC8">
      <w:rPr>
        <w:b/>
      </w:rPr>
      <w:t>6</w:t>
    </w:r>
    <w:r w:rsidRPr="00F05C36">
      <w:rPr>
        <w:b/>
      </w:rPr>
      <w:t>. 20</w:t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458F9"/>
    <w:rsid w:val="0009075C"/>
    <w:rsid w:val="000A5A3D"/>
    <w:rsid w:val="000B0B3A"/>
    <w:rsid w:val="000C6A4E"/>
    <w:rsid w:val="0011648E"/>
    <w:rsid w:val="0012266F"/>
    <w:rsid w:val="00125C58"/>
    <w:rsid w:val="00126F9B"/>
    <w:rsid w:val="001315DA"/>
    <w:rsid w:val="00131BAA"/>
    <w:rsid w:val="00131DB1"/>
    <w:rsid w:val="001423BA"/>
    <w:rsid w:val="001472B6"/>
    <w:rsid w:val="00162B06"/>
    <w:rsid w:val="00166E9F"/>
    <w:rsid w:val="00172669"/>
    <w:rsid w:val="00194647"/>
    <w:rsid w:val="001C157F"/>
    <w:rsid w:val="001C5C39"/>
    <w:rsid w:val="00205596"/>
    <w:rsid w:val="00206A27"/>
    <w:rsid w:val="002212AD"/>
    <w:rsid w:val="00225664"/>
    <w:rsid w:val="0023477B"/>
    <w:rsid w:val="00236C6E"/>
    <w:rsid w:val="002A2B5D"/>
    <w:rsid w:val="002B47FB"/>
    <w:rsid w:val="002C21BC"/>
    <w:rsid w:val="002D3C84"/>
    <w:rsid w:val="00310D31"/>
    <w:rsid w:val="0031221D"/>
    <w:rsid w:val="00331D39"/>
    <w:rsid w:val="003708EE"/>
    <w:rsid w:val="0038756E"/>
    <w:rsid w:val="00397546"/>
    <w:rsid w:val="003B1592"/>
    <w:rsid w:val="003B5CA1"/>
    <w:rsid w:val="003E09F5"/>
    <w:rsid w:val="003F0DC5"/>
    <w:rsid w:val="004648F6"/>
    <w:rsid w:val="004A0269"/>
    <w:rsid w:val="004C33B2"/>
    <w:rsid w:val="004C4BE6"/>
    <w:rsid w:val="004E6C5B"/>
    <w:rsid w:val="004F45F6"/>
    <w:rsid w:val="00515F8A"/>
    <w:rsid w:val="005242C9"/>
    <w:rsid w:val="00546F71"/>
    <w:rsid w:val="005475B8"/>
    <w:rsid w:val="00551314"/>
    <w:rsid w:val="00563EA0"/>
    <w:rsid w:val="00573ECE"/>
    <w:rsid w:val="00583700"/>
    <w:rsid w:val="005A3FB3"/>
    <w:rsid w:val="005B377B"/>
    <w:rsid w:val="005B75D5"/>
    <w:rsid w:val="005C1FE5"/>
    <w:rsid w:val="005C678E"/>
    <w:rsid w:val="005D421A"/>
    <w:rsid w:val="00607FC9"/>
    <w:rsid w:val="00656DF3"/>
    <w:rsid w:val="00660C0D"/>
    <w:rsid w:val="00664B43"/>
    <w:rsid w:val="0067085A"/>
    <w:rsid w:val="00693046"/>
    <w:rsid w:val="006D1BF3"/>
    <w:rsid w:val="006D2CDB"/>
    <w:rsid w:val="006E46DF"/>
    <w:rsid w:val="006E691A"/>
    <w:rsid w:val="006E6D5A"/>
    <w:rsid w:val="00701CC8"/>
    <w:rsid w:val="0070453A"/>
    <w:rsid w:val="00725500"/>
    <w:rsid w:val="00736438"/>
    <w:rsid w:val="00743699"/>
    <w:rsid w:val="007A2607"/>
    <w:rsid w:val="007B26D4"/>
    <w:rsid w:val="007B2D8B"/>
    <w:rsid w:val="007C7F2E"/>
    <w:rsid w:val="007D40A1"/>
    <w:rsid w:val="00802088"/>
    <w:rsid w:val="00804CF9"/>
    <w:rsid w:val="00815CF0"/>
    <w:rsid w:val="0081674D"/>
    <w:rsid w:val="00830F54"/>
    <w:rsid w:val="00850C91"/>
    <w:rsid w:val="0086416D"/>
    <w:rsid w:val="008938AF"/>
    <w:rsid w:val="008D587E"/>
    <w:rsid w:val="00912DC0"/>
    <w:rsid w:val="00944AA4"/>
    <w:rsid w:val="00945D43"/>
    <w:rsid w:val="00945F52"/>
    <w:rsid w:val="009622A1"/>
    <w:rsid w:val="00962F79"/>
    <w:rsid w:val="009A08A4"/>
    <w:rsid w:val="009A2040"/>
    <w:rsid w:val="009A7C12"/>
    <w:rsid w:val="009B1955"/>
    <w:rsid w:val="009B3D13"/>
    <w:rsid w:val="009B6959"/>
    <w:rsid w:val="009C0B3C"/>
    <w:rsid w:val="009C2952"/>
    <w:rsid w:val="009D0075"/>
    <w:rsid w:val="00A15750"/>
    <w:rsid w:val="00A15F6D"/>
    <w:rsid w:val="00A203F4"/>
    <w:rsid w:val="00A27EC9"/>
    <w:rsid w:val="00A3105F"/>
    <w:rsid w:val="00A8772A"/>
    <w:rsid w:val="00A92B63"/>
    <w:rsid w:val="00AB60BB"/>
    <w:rsid w:val="00AC2C0E"/>
    <w:rsid w:val="00AE216E"/>
    <w:rsid w:val="00AE77B4"/>
    <w:rsid w:val="00AF3577"/>
    <w:rsid w:val="00B07DAD"/>
    <w:rsid w:val="00B22C62"/>
    <w:rsid w:val="00B47F68"/>
    <w:rsid w:val="00B501EE"/>
    <w:rsid w:val="00B67B08"/>
    <w:rsid w:val="00B74B06"/>
    <w:rsid w:val="00B76868"/>
    <w:rsid w:val="00B92B0F"/>
    <w:rsid w:val="00BE27E5"/>
    <w:rsid w:val="00C01E34"/>
    <w:rsid w:val="00C0761B"/>
    <w:rsid w:val="00C2072A"/>
    <w:rsid w:val="00C27F1E"/>
    <w:rsid w:val="00C37FCE"/>
    <w:rsid w:val="00C42B7D"/>
    <w:rsid w:val="00C45223"/>
    <w:rsid w:val="00C62AF2"/>
    <w:rsid w:val="00C73820"/>
    <w:rsid w:val="00C90BE8"/>
    <w:rsid w:val="00C946A2"/>
    <w:rsid w:val="00C97C61"/>
    <w:rsid w:val="00CA5E1B"/>
    <w:rsid w:val="00CE17B5"/>
    <w:rsid w:val="00D41F99"/>
    <w:rsid w:val="00D45CB8"/>
    <w:rsid w:val="00D56BD1"/>
    <w:rsid w:val="00D62307"/>
    <w:rsid w:val="00D62A58"/>
    <w:rsid w:val="00D93545"/>
    <w:rsid w:val="00DC01D8"/>
    <w:rsid w:val="00DC3445"/>
    <w:rsid w:val="00DD323F"/>
    <w:rsid w:val="00DD7B1F"/>
    <w:rsid w:val="00DF35D8"/>
    <w:rsid w:val="00DF5406"/>
    <w:rsid w:val="00E0447F"/>
    <w:rsid w:val="00E152EE"/>
    <w:rsid w:val="00E35DFF"/>
    <w:rsid w:val="00E44A28"/>
    <w:rsid w:val="00E55F60"/>
    <w:rsid w:val="00E90E30"/>
    <w:rsid w:val="00E94D9B"/>
    <w:rsid w:val="00EB13DD"/>
    <w:rsid w:val="00EE5BF8"/>
    <w:rsid w:val="00EF3689"/>
    <w:rsid w:val="00EF4AB4"/>
    <w:rsid w:val="00F05C36"/>
    <w:rsid w:val="00F22F6C"/>
    <w:rsid w:val="00F266EF"/>
    <w:rsid w:val="00F33DA4"/>
    <w:rsid w:val="00F41A48"/>
    <w:rsid w:val="00F43807"/>
    <w:rsid w:val="00F57C1D"/>
    <w:rsid w:val="00F9587D"/>
    <w:rsid w:val="00F97CF3"/>
    <w:rsid w:val="00FA7AB0"/>
    <w:rsid w:val="00FB1053"/>
    <w:rsid w:val="00FC6A78"/>
    <w:rsid w:val="00FD70FE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EAF3DD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4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4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4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192.168.0.2\documents\02-Company\03-PR\02-Tiskove%20zpravy%20-%20pracovni\01-CZ\2020\www.ceskynarodnipanel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0.2\documents\02-Company\03-PR\02-Tiskove%20zpravy%20-%20pracovni\01-CZ\2020\www.provyzkum.cz" TargetMode="External"/><Relationship Id="rId10" Type="http://schemas.openxmlformats.org/officeDocument/2006/relationships/hyperlink" Target="mailto:eliska.morochovicova@admospher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Info\03-PR\01_Loga,%20oficialni%20grafika,%20promo\Nielsen%20Admosphere\&#352;ablony%20-%20nab&#237;dky,%20studie%20apod\Sablona_bilo-oranzova_vhodna%20pro%20tisk_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B44E-EC19-460D-8613-CBA3DA8F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Sablona_bilo-oranzova_vhodna pro tisk_2018</Template>
  <TotalTime>0</TotalTime>
  <Pages>4</Pages>
  <Words>934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cp:lastPrinted>2020-02-13T09:57:00Z</cp:lastPrinted>
  <dcterms:created xsi:type="dcterms:W3CDTF">2020-06-29T17:56:00Z</dcterms:created>
  <dcterms:modified xsi:type="dcterms:W3CDTF">2020-06-29T17:56:00Z</dcterms:modified>
</cp:coreProperties>
</file>