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63" w:rsidRPr="003B0308" w:rsidRDefault="00411863" w:rsidP="00411863">
      <w:pPr>
        <w:pStyle w:val="DokumentObsah"/>
        <w:rPr>
          <w:sz w:val="32"/>
          <w:szCs w:val="32"/>
          <w:lang w:val="sk-SK"/>
        </w:rPr>
      </w:pPr>
      <w:bookmarkStart w:id="0" w:name="_GoBack"/>
      <w:r w:rsidRPr="003B0308">
        <w:rPr>
          <w:sz w:val="32"/>
          <w:szCs w:val="32"/>
          <w:lang w:val="sk-SK"/>
        </w:rPr>
        <w:t xml:space="preserve">Jen 16 % lidí našlo o Vánocích pod stromečkem </w:t>
      </w:r>
      <w:r>
        <w:rPr>
          <w:sz w:val="32"/>
          <w:szCs w:val="32"/>
          <w:lang w:val="sk-SK"/>
        </w:rPr>
        <w:t>nechtěný</w:t>
      </w:r>
      <w:r w:rsidRPr="003B0308">
        <w:rPr>
          <w:sz w:val="32"/>
          <w:szCs w:val="32"/>
          <w:lang w:val="sk-SK"/>
        </w:rPr>
        <w:t xml:space="preserve"> dárek</w:t>
      </w:r>
    </w:p>
    <w:bookmarkEnd w:id="0"/>
    <w:p w:rsidR="00411863" w:rsidRDefault="00411863" w:rsidP="009C0A4A">
      <w:pPr>
        <w:spacing w:after="240"/>
        <w:jc w:val="both"/>
        <w:rPr>
          <w:rFonts w:ascii="Calibri" w:hAnsi="Calibri" w:cs="Tahoma"/>
          <w:b/>
          <w:bCs/>
          <w:i/>
          <w:noProof/>
          <w:color w:val="262626"/>
        </w:rPr>
      </w:pPr>
      <w:r w:rsidRPr="003B0308">
        <w:rPr>
          <w:rFonts w:ascii="Calibri" w:hAnsi="Calibri" w:cs="Tahoma"/>
          <w:b/>
          <w:bCs/>
          <w:i/>
          <w:noProof/>
          <w:color w:val="262626"/>
        </w:rPr>
        <w:t>Většina z nás už se (snad) probrala z vánoční hibernace, rozh</w:t>
      </w:r>
      <w:r w:rsidR="009C0A4A">
        <w:rPr>
          <w:rFonts w:ascii="Calibri" w:hAnsi="Calibri" w:cs="Tahoma"/>
          <w:b/>
          <w:bCs/>
          <w:i/>
          <w:noProof/>
          <w:color w:val="262626"/>
        </w:rPr>
        <w:t>ýbala tělo zatěžkané cukrovím a </w:t>
      </w:r>
      <w:r w:rsidRPr="003B0308">
        <w:rPr>
          <w:rFonts w:ascii="Calibri" w:hAnsi="Calibri" w:cs="Tahoma"/>
          <w:b/>
          <w:bCs/>
          <w:i/>
          <w:noProof/>
          <w:color w:val="262626"/>
        </w:rPr>
        <w:t>bramborovým salátem a možná stihla vyřídit i pár reklamací a vracení vánočních dárků. Proto je právě teď ten správný čas na to podívat se, v jaké míře byly pod vánočním stromečkem zastoupeny nevhodné dárky. Výsledek je opravdu pozitivní – zejména pak pro ty, k</w:t>
      </w:r>
      <w:r>
        <w:rPr>
          <w:rFonts w:ascii="Calibri" w:hAnsi="Calibri" w:cs="Tahoma"/>
          <w:b/>
          <w:bCs/>
          <w:i/>
          <w:noProof/>
          <w:color w:val="262626"/>
        </w:rPr>
        <w:t>teří byli v roli darujících: 84 </w:t>
      </w:r>
      <w:r w:rsidRPr="003B0308">
        <w:rPr>
          <w:rFonts w:ascii="Calibri" w:hAnsi="Calibri" w:cs="Tahoma"/>
          <w:b/>
          <w:bCs/>
          <w:i/>
          <w:noProof/>
          <w:color w:val="262626"/>
        </w:rPr>
        <w:t>% respondentů výzkumu Nielsen Admosphere odpovědělo, že mezi vánočními dárky tentokrát nenašli žádný nevhodný nebo takový, který by se jim nelíbil.</w:t>
      </w:r>
    </w:p>
    <w:p w:rsidR="00411863" w:rsidRDefault="009C0A4A" w:rsidP="009C0A4A">
      <w:pPr>
        <w:spacing w:after="240"/>
        <w:jc w:val="both"/>
        <w:rPr>
          <w:rFonts w:ascii="Calibri" w:hAnsi="Calibri" w:cs="Tahoma"/>
          <w:bCs/>
          <w:noProof/>
          <w:color w:val="26262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1205865</wp:posOffset>
            </wp:positionV>
            <wp:extent cx="4457700" cy="3081020"/>
            <wp:effectExtent l="0" t="0" r="0" b="508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863" w:rsidRPr="003B0308">
        <w:rPr>
          <w:rFonts w:ascii="Calibri" w:hAnsi="Calibri" w:cs="Tahoma"/>
          <w:bCs/>
          <w:noProof/>
          <w:color w:val="262626"/>
        </w:rPr>
        <w:t xml:space="preserve">Výzkum se uskutečnil mezi pětistovkou respondentů z řad internetové populace Českého národního panelu starší 15 let. Vyplynulo z něj, že 16 % </w:t>
      </w:r>
      <w:r w:rsidR="00411863">
        <w:rPr>
          <w:rFonts w:ascii="Calibri" w:hAnsi="Calibri" w:cs="Tahoma"/>
          <w:bCs/>
          <w:noProof/>
          <w:color w:val="262626"/>
        </w:rPr>
        <w:t xml:space="preserve">dotázaných našlo </w:t>
      </w:r>
      <w:r w:rsidR="00411863" w:rsidRPr="003B0308">
        <w:rPr>
          <w:rFonts w:ascii="Calibri" w:hAnsi="Calibri" w:cs="Tahoma"/>
          <w:bCs/>
          <w:noProof/>
          <w:color w:val="262626"/>
        </w:rPr>
        <w:t>pod stromečkem o posledních Vánocích nějaký nevyhovující dárek</w:t>
      </w:r>
      <w:r w:rsidR="00411863">
        <w:rPr>
          <w:rFonts w:ascii="Calibri" w:hAnsi="Calibri" w:cs="Tahoma"/>
          <w:bCs/>
          <w:noProof/>
          <w:color w:val="262626"/>
        </w:rPr>
        <w:t>. V</w:t>
      </w:r>
      <w:r w:rsidR="00411863" w:rsidRPr="003B0308">
        <w:rPr>
          <w:rFonts w:ascii="Calibri" w:hAnsi="Calibri" w:cs="Tahoma"/>
          <w:bCs/>
          <w:noProof/>
          <w:color w:val="262626"/>
        </w:rPr>
        <w:t>e větší míře</w:t>
      </w:r>
      <w:r w:rsidR="00411863">
        <w:rPr>
          <w:rFonts w:ascii="Calibri" w:hAnsi="Calibri" w:cs="Tahoma"/>
          <w:bCs/>
          <w:noProof/>
          <w:color w:val="262626"/>
        </w:rPr>
        <w:t xml:space="preserve"> tak odpovídali</w:t>
      </w:r>
      <w:r w:rsidR="00411863" w:rsidRPr="003B0308">
        <w:rPr>
          <w:rFonts w:ascii="Calibri" w:hAnsi="Calibri" w:cs="Tahoma"/>
          <w:bCs/>
          <w:noProof/>
          <w:color w:val="262626"/>
        </w:rPr>
        <w:t xml:space="preserve"> mladší respondenti (</w:t>
      </w:r>
      <w:r w:rsidR="00411863">
        <w:rPr>
          <w:rFonts w:ascii="Calibri" w:hAnsi="Calibri" w:cs="Tahoma"/>
          <w:bCs/>
          <w:noProof/>
          <w:color w:val="262626"/>
        </w:rPr>
        <w:t>ve skupině</w:t>
      </w:r>
      <w:r w:rsidR="00411863" w:rsidRPr="003B0308">
        <w:rPr>
          <w:rFonts w:ascii="Calibri" w:hAnsi="Calibri" w:cs="Tahoma"/>
          <w:bCs/>
          <w:noProof/>
          <w:color w:val="262626"/>
        </w:rPr>
        <w:t xml:space="preserve"> 15</w:t>
      </w:r>
      <w:r w:rsidR="00411863">
        <w:rPr>
          <w:rFonts w:ascii="Calibri" w:hAnsi="Calibri" w:cs="Tahoma"/>
          <w:bCs/>
          <w:noProof/>
          <w:color w:val="262626"/>
        </w:rPr>
        <w:t>–</w:t>
      </w:r>
      <w:r w:rsidR="00411863" w:rsidRPr="003B0308">
        <w:rPr>
          <w:rFonts w:ascii="Calibri" w:hAnsi="Calibri" w:cs="Tahoma"/>
          <w:bCs/>
          <w:noProof/>
          <w:color w:val="262626"/>
        </w:rPr>
        <w:t>34</w:t>
      </w:r>
      <w:r w:rsidR="00411863">
        <w:rPr>
          <w:rFonts w:ascii="Calibri" w:hAnsi="Calibri" w:cs="Tahoma"/>
          <w:bCs/>
          <w:noProof/>
          <w:color w:val="262626"/>
        </w:rPr>
        <w:t>letých</w:t>
      </w:r>
      <w:r w:rsidR="00411863" w:rsidRPr="003B0308">
        <w:rPr>
          <w:rFonts w:ascii="Calibri" w:hAnsi="Calibri" w:cs="Tahoma"/>
          <w:bCs/>
          <w:noProof/>
          <w:color w:val="262626"/>
        </w:rPr>
        <w:t xml:space="preserve"> </w:t>
      </w:r>
      <w:r w:rsidR="00411863">
        <w:rPr>
          <w:rFonts w:ascii="Calibri" w:hAnsi="Calibri" w:cs="Tahoma"/>
          <w:bCs/>
          <w:noProof/>
          <w:color w:val="262626"/>
        </w:rPr>
        <w:t>jich bylo</w:t>
      </w:r>
      <w:r w:rsidR="00411863" w:rsidRPr="003B0308">
        <w:rPr>
          <w:rFonts w:ascii="Calibri" w:hAnsi="Calibri" w:cs="Tahoma"/>
          <w:bCs/>
          <w:noProof/>
          <w:color w:val="262626"/>
        </w:rPr>
        <w:t xml:space="preserve"> 23 %, oproti tomu mezi staršími 45 let jich je jen 11 %). O něco více </w:t>
      </w:r>
      <w:r w:rsidR="00411863">
        <w:rPr>
          <w:rFonts w:ascii="Calibri" w:hAnsi="Calibri" w:cs="Tahoma"/>
          <w:bCs/>
          <w:noProof/>
          <w:color w:val="262626"/>
        </w:rPr>
        <w:t xml:space="preserve">tuto odpověď volily </w:t>
      </w:r>
      <w:r w:rsidR="00411863" w:rsidRPr="003B0308">
        <w:rPr>
          <w:rFonts w:ascii="Calibri" w:hAnsi="Calibri" w:cs="Tahoma"/>
          <w:bCs/>
          <w:noProof/>
          <w:color w:val="262626"/>
        </w:rPr>
        <w:t>také ženy (19 %) oproti mužům (14 %).</w:t>
      </w:r>
    </w:p>
    <w:p w:rsidR="00411863" w:rsidRPr="003B0308" w:rsidRDefault="00411863" w:rsidP="009C0A4A">
      <w:pPr>
        <w:spacing w:after="240"/>
        <w:jc w:val="both"/>
        <w:rPr>
          <w:rFonts w:ascii="Calibri" w:hAnsi="Calibri" w:cs="Tahoma"/>
          <w:bCs/>
          <w:noProof/>
          <w:color w:val="262626"/>
        </w:rPr>
      </w:pPr>
    </w:p>
    <w:p w:rsidR="00411863" w:rsidRDefault="00411863" w:rsidP="009C0A4A">
      <w:pPr>
        <w:spacing w:after="240"/>
        <w:jc w:val="both"/>
        <w:rPr>
          <w:rFonts w:ascii="Calibri" w:hAnsi="Calibri" w:cs="Tahoma"/>
          <w:bCs/>
          <w:noProof/>
          <w:color w:val="262626"/>
        </w:rPr>
      </w:pPr>
      <w:r w:rsidRPr="003B0308">
        <w:rPr>
          <w:rFonts w:ascii="Calibri" w:hAnsi="Calibri" w:cs="Tahoma"/>
          <w:bCs/>
          <w:noProof/>
          <w:color w:val="262626"/>
        </w:rPr>
        <w:t>Nejčastějšími nevhodnými dárky byly o Vánocích 2019 oblečení či obuv a kosmetika.</w:t>
      </w:r>
    </w:p>
    <w:p w:rsidR="00411863" w:rsidRDefault="00411863" w:rsidP="009C0A4A">
      <w:pPr>
        <w:spacing w:after="240"/>
        <w:jc w:val="both"/>
        <w:rPr>
          <w:rFonts w:ascii="Calibri" w:hAnsi="Calibri" w:cs="Tahoma"/>
          <w:bCs/>
          <w:noProof/>
          <w:color w:val="262626"/>
        </w:rPr>
      </w:pPr>
      <w:r>
        <w:rPr>
          <w:rFonts w:ascii="Calibri" w:hAnsi="Calibri" w:cs="Tahoma"/>
          <w:bCs/>
          <w:noProof/>
          <w:color w:val="262626"/>
        </w:rPr>
        <w:t xml:space="preserve">A pokud zrovna patříte mezi ty, kteří tentokrát obdarovali své blízké nějakým tím nechtěným dárkem, mohou vám na příště pomoci data z našeho výzkumu, která odhalují, co respondenti opravdu nechtějí k Vánocům dostat. </w:t>
      </w:r>
      <w:r w:rsidRPr="003B0308">
        <w:rPr>
          <w:rFonts w:ascii="Calibri" w:hAnsi="Calibri" w:cs="Tahoma"/>
          <w:bCs/>
          <w:noProof/>
          <w:color w:val="262626"/>
        </w:rPr>
        <w:t xml:space="preserve">Nejčastěji se v odpovědích </w:t>
      </w:r>
      <w:r>
        <w:rPr>
          <w:rFonts w:ascii="Calibri" w:hAnsi="Calibri" w:cs="Tahoma"/>
          <w:bCs/>
          <w:noProof/>
          <w:color w:val="262626"/>
        </w:rPr>
        <w:t>objevovaly</w:t>
      </w:r>
      <w:r w:rsidRPr="003B0308">
        <w:rPr>
          <w:rFonts w:ascii="Calibri" w:hAnsi="Calibri" w:cs="Tahoma"/>
          <w:bCs/>
          <w:noProof/>
          <w:color w:val="262626"/>
        </w:rPr>
        <w:t xml:space="preserve"> p</w:t>
      </w:r>
      <w:r>
        <w:rPr>
          <w:rFonts w:ascii="Calibri" w:hAnsi="Calibri" w:cs="Tahoma"/>
          <w:bCs/>
          <w:noProof/>
          <w:color w:val="262626"/>
        </w:rPr>
        <w:t>rávě oblečení a obuv (26 %), na </w:t>
      </w:r>
      <w:r w:rsidRPr="003B0308">
        <w:rPr>
          <w:rFonts w:ascii="Calibri" w:hAnsi="Calibri" w:cs="Tahoma"/>
          <w:bCs/>
          <w:noProof/>
          <w:color w:val="262626"/>
        </w:rPr>
        <w:t>kterých se shodli muži i ženy. Druhé a třetí místo na černé listině dárků mužů pak zaujímají domácí mazlíčci (8 %) a kosmetika či drogistické výrobky (7 %), zatímco u žen jsou druhým nejméně žádaným dárkem potřeby pro domácnost (17 %) a na třetím místě jsou domácí mazlíčci (13 %).</w:t>
      </w:r>
    </w:p>
    <w:p w:rsidR="00411863" w:rsidRDefault="00411863" w:rsidP="00411863">
      <w:pPr>
        <w:spacing w:after="240"/>
        <w:contextualSpacing/>
        <w:rPr>
          <w:rFonts w:ascii="Calibri" w:hAnsi="Calibri"/>
          <w:b/>
          <w:bCs/>
          <w:color w:val="FF9900"/>
          <w:lang w:val="sk-SK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189230</wp:posOffset>
            </wp:positionV>
            <wp:extent cx="5758815" cy="2988310"/>
            <wp:effectExtent l="0" t="0" r="0" b="254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C36" w:rsidRPr="00F05C36" w:rsidRDefault="00F05C36" w:rsidP="00F05C36">
      <w:pPr>
        <w:spacing w:after="240"/>
        <w:rPr>
          <w:rFonts w:ascii="Calibri" w:hAnsi="Calibri" w:cs="Tahoma"/>
          <w:b/>
          <w:bCs/>
          <w:noProof/>
          <w:color w:val="262626"/>
          <w:lang w:val="sk-SK"/>
        </w:rPr>
      </w:pPr>
    </w:p>
    <w:p w:rsidR="00F05C36" w:rsidRPr="00F05C36" w:rsidRDefault="00F05C36" w:rsidP="00F05C36">
      <w:pPr>
        <w:spacing w:after="240" w:line="360" w:lineRule="exact"/>
        <w:contextualSpacing/>
        <w:rPr>
          <w:rFonts w:ascii="Calibri" w:hAnsi="Calibri"/>
          <w:lang w:val="sk-SK"/>
        </w:rPr>
      </w:pPr>
      <w:r w:rsidRPr="000D7C5B">
        <w:rPr>
          <w:rFonts w:ascii="Calibri" w:hAnsi="Calibri"/>
          <w:b/>
          <w:bCs/>
          <w:color w:val="FF9900"/>
          <w:lang w:val="sk-SK"/>
        </w:rPr>
        <w:t>Eliška Morochovičová</w:t>
      </w:r>
      <w:r w:rsidRPr="00F05C36">
        <w:rPr>
          <w:rFonts w:ascii="Calibri" w:hAnsi="Calibri"/>
          <w:b/>
          <w:bCs/>
          <w:lang w:val="sk-SK"/>
        </w:rPr>
        <w:t xml:space="preserve"> </w:t>
      </w:r>
      <w:r w:rsidRPr="00F05C36">
        <w:rPr>
          <w:rFonts w:ascii="Calibri" w:hAnsi="Calibri"/>
          <w:lang w:val="sk-SK"/>
        </w:rPr>
        <w:t xml:space="preserve">| Public Relations </w:t>
      </w:r>
      <w:r w:rsidRPr="00F05C36">
        <w:rPr>
          <w:rFonts w:ascii="Calibri" w:hAnsi="Calibri"/>
          <w:lang w:val="sk-SK"/>
        </w:rPr>
        <w:br/>
      </w:r>
      <w:hyperlink r:id="rId10" w:history="1">
        <w:r w:rsidRPr="00F05C36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:rsidR="00F05C36" w:rsidRPr="00F05C36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r w:rsidRPr="00F05C36">
        <w:rPr>
          <w:rFonts w:ascii="Calibri" w:hAnsi="Calibri"/>
          <w:lang w:val="sk-SK"/>
        </w:rPr>
        <w:t xml:space="preserve">Nielsen Admosphere, a.s.| Českobratrská 2778/1 | 130 00 Praha 3 | tel.: +420 222 717 763 | </w:t>
      </w:r>
      <w:hyperlink r:id="rId11" w:history="1">
        <w:r w:rsidRPr="00F05C36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:rsidR="00F05C36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666666"/>
        </w:rPr>
      </w:pPr>
    </w:p>
    <w:p w:rsidR="00F05C36" w:rsidRDefault="00F05C36" w:rsidP="00F05C36">
      <w:pPr>
        <w:spacing w:after="240"/>
        <w:contextualSpacing/>
        <w:rPr>
          <w:rStyle w:val="Hypertextovodkaz"/>
          <w:rFonts w:ascii="Calibri" w:hAnsi="Calibri"/>
          <w:lang w:val="sk-SK"/>
        </w:rPr>
      </w:pPr>
    </w:p>
    <w:p w:rsidR="00F05C36" w:rsidRPr="007D3C9F" w:rsidRDefault="00F05C36" w:rsidP="00F05C36">
      <w:pPr>
        <w:pStyle w:val="Dokumenttext"/>
        <w:rPr>
          <w:b/>
        </w:rPr>
      </w:pPr>
      <w:r w:rsidRPr="007D3C9F">
        <w:rPr>
          <w:b/>
        </w:rPr>
        <w:t>Doplňující informace:</w:t>
      </w:r>
    </w:p>
    <w:p w:rsidR="00F05C36" w:rsidRPr="007D3C9F" w:rsidRDefault="00F05C36" w:rsidP="00F05C36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r w:rsidRPr="007D3C9F">
        <w:rPr>
          <w:b/>
          <w:color w:val="808080"/>
          <w:sz w:val="20"/>
          <w:szCs w:val="20"/>
        </w:rPr>
        <w:t>Nielsen Admosphere</w:t>
      </w:r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2" w:history="1">
        <w:r w:rsidRPr="00D72F07">
          <w:rPr>
            <w:rStyle w:val="Hypertextovodkaz"/>
            <w:color w:val="808080"/>
            <w:sz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SimMetry™. Věnuje se i </w:t>
      </w:r>
      <w:r>
        <w:rPr>
          <w:color w:val="808080"/>
          <w:sz w:val="20"/>
          <w:szCs w:val="20"/>
        </w:rPr>
        <w:t xml:space="preserve">monitoringu reklamy, </w:t>
      </w:r>
      <w:r w:rsidRPr="007D3C9F">
        <w:rPr>
          <w:color w:val="808080"/>
          <w:sz w:val="20"/>
          <w:szCs w:val="20"/>
        </w:rPr>
        <w:t>marketingovému výzkumu (online průzkumy, CAWI, CATI pr</w:t>
      </w:r>
      <w:r>
        <w:rPr>
          <w:color w:val="808080"/>
          <w:sz w:val="20"/>
          <w:szCs w:val="20"/>
        </w:rPr>
        <w:t>ůzku %my…) a analýze dat a nabízí</w:t>
      </w:r>
      <w:r w:rsidRPr="007D3C9F">
        <w:rPr>
          <w:color w:val="808080"/>
          <w:sz w:val="20"/>
          <w:szCs w:val="20"/>
        </w:rPr>
        <w:t xml:space="preserve"> komplexní servis spolehlivé výzkumné agentury se zázemím mezinárodní výzkumné společnosti Nielsen.</w:t>
      </w:r>
    </w:p>
    <w:p w:rsidR="00F05C36" w:rsidRDefault="00F05C36" w:rsidP="00F05C36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Součástí skupiny Nielsen Admosphere je </w:t>
      </w:r>
      <w:r>
        <w:rPr>
          <w:color w:val="808080"/>
          <w:sz w:val="20"/>
          <w:szCs w:val="20"/>
        </w:rPr>
        <w:t xml:space="preserve">i </w:t>
      </w:r>
      <w:r w:rsidRPr="007D3C9F">
        <w:rPr>
          <w:color w:val="808080"/>
          <w:sz w:val="20"/>
          <w:szCs w:val="20"/>
        </w:rPr>
        <w:t>společnost Adwind Software, která vyv</w:t>
      </w:r>
      <w:r>
        <w:rPr>
          <w:color w:val="808080"/>
          <w:sz w:val="20"/>
          <w:szCs w:val="20"/>
        </w:rPr>
        <w:t>íjí software pro práci s daty z </w:t>
      </w:r>
      <w:r w:rsidRPr="007D3C9F">
        <w:rPr>
          <w:color w:val="808080"/>
          <w:sz w:val="20"/>
          <w:szCs w:val="20"/>
        </w:rPr>
        <w:t>výzkumů sledovanosti a monitoringu reklamy.</w:t>
      </w:r>
    </w:p>
    <w:p w:rsidR="00F05C36" w:rsidRDefault="00F05C36" w:rsidP="00F05C36">
      <w:pPr>
        <w:pStyle w:val="Dokumenttext"/>
        <w:rPr>
          <w:color w:val="808080"/>
          <w:sz w:val="20"/>
          <w:szCs w:val="20"/>
        </w:rPr>
      </w:pPr>
      <w:r w:rsidRPr="004D2DD5">
        <w:rPr>
          <w:b/>
          <w:color w:val="808080"/>
          <w:sz w:val="20"/>
          <w:szCs w:val="20"/>
        </w:rPr>
        <w:t>Český národní panel</w:t>
      </w:r>
      <w:r w:rsidRPr="004D2DD5">
        <w:rPr>
          <w:color w:val="808080"/>
          <w:sz w:val="20"/>
          <w:szCs w:val="20"/>
        </w:rPr>
        <w:t xml:space="preserve"> (</w:t>
      </w:r>
      <w:hyperlink r:id="rId13" w:history="1">
        <w:r w:rsidRPr="00D72F07">
          <w:rPr>
            <w:rStyle w:val="Hypertextovodkaz"/>
            <w:color w:val="808080"/>
            <w:sz w:val="20"/>
            <w:szCs w:val="20"/>
          </w:rPr>
          <w:t>www.ceskynarodnipanel.cz</w:t>
        </w:r>
      </w:hyperlink>
      <w:r w:rsidRPr="004D2DD5">
        <w:rPr>
          <w:color w:val="808080"/>
          <w:sz w:val="20"/>
          <w:szCs w:val="20"/>
        </w:rPr>
        <w:t xml:space="preserve">) je </w:t>
      </w:r>
      <w:r>
        <w:rPr>
          <w:color w:val="808080"/>
          <w:sz w:val="20"/>
          <w:szCs w:val="20"/>
        </w:rPr>
        <w:t>jedním</w:t>
      </w:r>
      <w:r w:rsidRPr="004D2DD5">
        <w:rPr>
          <w:color w:val="808080"/>
          <w:sz w:val="20"/>
          <w:szCs w:val="20"/>
        </w:rPr>
        <w:t xml:space="preserve"> z největšíc</w:t>
      </w:r>
      <w:r>
        <w:rPr>
          <w:color w:val="808080"/>
          <w:sz w:val="20"/>
          <w:szCs w:val="20"/>
        </w:rPr>
        <w:t>h výzkumných panelů v Česku, na </w:t>
      </w:r>
      <w:r w:rsidRPr="004D2DD5">
        <w:rPr>
          <w:color w:val="808080"/>
          <w:sz w:val="20"/>
          <w:szCs w:val="20"/>
        </w:rPr>
        <w:t>Slovensku (Sl</w:t>
      </w:r>
      <w:r>
        <w:rPr>
          <w:color w:val="808080"/>
          <w:sz w:val="20"/>
          <w:szCs w:val="20"/>
        </w:rPr>
        <w:t xml:space="preserve">ovenský národný panel – SNaP), </w:t>
      </w:r>
      <w:r w:rsidRPr="004D2DD5">
        <w:rPr>
          <w:color w:val="808080"/>
          <w:sz w:val="20"/>
          <w:szCs w:val="20"/>
        </w:rPr>
        <w:t>v</w:t>
      </w:r>
      <w:r>
        <w:rPr>
          <w:color w:val="808080"/>
          <w:sz w:val="20"/>
          <w:szCs w:val="20"/>
        </w:rPr>
        <w:t> </w:t>
      </w:r>
      <w:r w:rsidRPr="004D2DD5">
        <w:rPr>
          <w:color w:val="808080"/>
          <w:sz w:val="20"/>
          <w:szCs w:val="20"/>
        </w:rPr>
        <w:t>Polsku</w:t>
      </w:r>
      <w:r>
        <w:rPr>
          <w:color w:val="808080"/>
          <w:sz w:val="20"/>
          <w:szCs w:val="20"/>
        </w:rPr>
        <w:t>, v Maďarsku a v Bulharsku</w:t>
      </w:r>
      <w:r w:rsidRPr="004D2DD5">
        <w:rPr>
          <w:color w:val="808080"/>
          <w:sz w:val="20"/>
          <w:szCs w:val="20"/>
        </w:rPr>
        <w:t>.</w:t>
      </w:r>
      <w:r>
        <w:rPr>
          <w:color w:val="808080"/>
          <w:sz w:val="20"/>
          <w:szCs w:val="20"/>
        </w:rPr>
        <w:t xml:space="preserve"> Jeho spoluvlastníkem je výzkumná agentura Nielsen Admosphere. Panel s</w:t>
      </w:r>
      <w:r w:rsidRPr="004D2DD5">
        <w:rPr>
          <w:color w:val="808080"/>
          <w:sz w:val="20"/>
          <w:szCs w:val="20"/>
        </w:rPr>
        <w:t>louží pro kvalitní a rychlé on-line sběry dat o internetové populaci. Disponuje početnou skupinou 50 000 respondentů v České republice, 25 0</w:t>
      </w:r>
      <w:r>
        <w:rPr>
          <w:color w:val="808080"/>
          <w:sz w:val="20"/>
          <w:szCs w:val="20"/>
        </w:rPr>
        <w:t>00 respondentů na Slovensku, 17</w:t>
      </w:r>
      <w:r w:rsidRPr="004D2DD5">
        <w:rPr>
          <w:color w:val="808080"/>
          <w:sz w:val="20"/>
          <w:szCs w:val="20"/>
        </w:rPr>
        <w:t xml:space="preserve"> 000 v</w:t>
      </w:r>
      <w:r>
        <w:rPr>
          <w:color w:val="808080"/>
          <w:sz w:val="20"/>
          <w:szCs w:val="20"/>
        </w:rPr>
        <w:t> </w:t>
      </w:r>
      <w:r w:rsidRPr="004D2DD5">
        <w:rPr>
          <w:color w:val="808080"/>
          <w:sz w:val="20"/>
          <w:szCs w:val="20"/>
        </w:rPr>
        <w:t>Polsku</w:t>
      </w:r>
      <w:r>
        <w:rPr>
          <w:color w:val="808080"/>
          <w:sz w:val="20"/>
          <w:szCs w:val="20"/>
        </w:rPr>
        <w:t>, 17 000 v Maďarsku a 10 000 v Bulharsku</w:t>
      </w:r>
      <w:r w:rsidRPr="004D2DD5">
        <w:rPr>
          <w:color w:val="808080"/>
          <w:sz w:val="20"/>
          <w:szCs w:val="20"/>
        </w:rPr>
        <w:t>.</w:t>
      </w:r>
    </w:p>
    <w:p w:rsidR="00F05C36" w:rsidRDefault="00F05C36" w:rsidP="00F05C36">
      <w:pPr>
        <w:pStyle w:val="Dokumenttext"/>
        <w:rPr>
          <w:color w:val="80808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F07">
        <w:rPr>
          <w:b/>
          <w:color w:val="808080"/>
          <w:sz w:val="20"/>
          <w:szCs w:val="20"/>
        </w:rPr>
        <w:t>PRO VÝZKUM</w:t>
      </w:r>
      <w:r w:rsidRPr="00D72F07">
        <w:rPr>
          <w:color w:val="808080"/>
          <w:sz w:val="20"/>
          <w:szCs w:val="20"/>
        </w:rPr>
        <w:t xml:space="preserve"> (</w:t>
      </w:r>
      <w:hyperlink r:id="rId15" w:history="1">
        <w:r w:rsidRPr="00D72F07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D72F07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</w:t>
      </w:r>
      <w:r>
        <w:rPr>
          <w:color w:val="808080"/>
          <w:sz w:val="20"/>
          <w:szCs w:val="20"/>
        </w:rPr>
        <w:t>ero pro ochranu osobních údaj</w:t>
      </w:r>
    </w:p>
    <w:p w:rsidR="00F05C36" w:rsidRDefault="00F05C36" w:rsidP="00F05C36">
      <w:pPr>
        <w:pStyle w:val="Dokumenttext"/>
        <w:rPr>
          <w:color w:val="808080"/>
          <w:sz w:val="20"/>
          <w:szCs w:val="20"/>
        </w:rPr>
      </w:pPr>
    </w:p>
    <w:p w:rsidR="00F43807" w:rsidRPr="00F05C36" w:rsidRDefault="00F43807" w:rsidP="00F05C36"/>
    <w:sectPr w:rsidR="00F43807" w:rsidRPr="00F05C36" w:rsidSect="00F05C36">
      <w:headerReference w:type="default" r:id="rId16"/>
      <w:footerReference w:type="default" r:id="rId17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36" w:rsidRDefault="00F05C36" w:rsidP="00F41A48">
      <w:pPr>
        <w:spacing w:after="0" w:line="240" w:lineRule="auto"/>
      </w:pPr>
      <w:r>
        <w:separator/>
      </w:r>
    </w:p>
  </w:endnote>
  <w:endnote w:type="continuationSeparator" w:id="0">
    <w:p w:rsidR="00F05C36" w:rsidRDefault="00F05C36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A4A">
          <w:rPr>
            <w:noProof/>
          </w:rPr>
          <w:t>2</w:t>
        </w:r>
        <w:r>
          <w:fldChar w:fldCharType="end"/>
        </w:r>
      </w:p>
    </w:sdtContent>
  </w:sdt>
  <w:p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36" w:rsidRDefault="00F05C36" w:rsidP="00F41A48">
      <w:pPr>
        <w:spacing w:after="0" w:line="240" w:lineRule="auto"/>
      </w:pPr>
      <w:r>
        <w:separator/>
      </w:r>
    </w:p>
  </w:footnote>
  <w:footnote w:type="continuationSeparator" w:id="0">
    <w:p w:rsidR="00F05C36" w:rsidRDefault="00F05C36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6FD9C30E" wp14:editId="101CEBDF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>TISKOVÁ ZPRÁVA</w:t>
    </w:r>
  </w:p>
  <w:p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 xml:space="preserve">Nielsen Admosphere, a.s., Praha, </w:t>
    </w:r>
    <w:r w:rsidR="009C0A4A">
      <w:rPr>
        <w:b/>
      </w:rPr>
      <w:t>4</w:t>
    </w:r>
    <w:r w:rsidRPr="00F05C36">
      <w:rPr>
        <w:b/>
      </w:rPr>
      <w:t>. 2. 20</w:t>
    </w:r>
    <w:r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2A2B5D"/>
    <w:rsid w:val="00411863"/>
    <w:rsid w:val="004C33B2"/>
    <w:rsid w:val="004E6C5B"/>
    <w:rsid w:val="004F45F6"/>
    <w:rsid w:val="00830F54"/>
    <w:rsid w:val="00850C91"/>
    <w:rsid w:val="00945D43"/>
    <w:rsid w:val="009C0A4A"/>
    <w:rsid w:val="00A15F6D"/>
    <w:rsid w:val="00B47F68"/>
    <w:rsid w:val="00F05C36"/>
    <w:rsid w:val="00F41A48"/>
    <w:rsid w:val="00F4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9878AB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192.168.0.2\documents\02-Company\03-PR\02-Tiskove%20zpravy%20-%20pracovni\01-CZ\2020\www.ceskynarodnipanel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0.2\documents\02-Company\03-PR\02-Tiskove%20zpravy%20-%20pracovni\01-CZ\2020\www.provyzkum.cz" TargetMode="External"/><Relationship Id="rId10" Type="http://schemas.openxmlformats.org/officeDocument/2006/relationships/hyperlink" Target="mailto:eliska.morochovicova@admospher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-Info\03-PR\01_Loga,%20oficialni%20grafika,%20promo\Nielsen%20Admosphere\&#352;ablony%20-%20nab&#237;dky,%20studie%20apod\Sablona_bilo-oranzova_vhodna%20pro%20tisk_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9072-028B-4142-BCB7-FE398035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Sablona_bilo-oranzova_vhodna pro tisk_2018</Template>
  <TotalTime>1</TotalTime>
  <Pages>3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2</cp:revision>
  <cp:lastPrinted>2020-02-03T14:07:00Z</cp:lastPrinted>
  <dcterms:created xsi:type="dcterms:W3CDTF">2020-02-04T08:51:00Z</dcterms:created>
  <dcterms:modified xsi:type="dcterms:W3CDTF">2020-02-04T08:51:00Z</dcterms:modified>
</cp:coreProperties>
</file>