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7B" w:rsidRPr="007D3C9F" w:rsidRDefault="0094617B" w:rsidP="0094617B">
      <w:pPr>
        <w:pStyle w:val="DokumentObsah"/>
        <w:rPr>
          <w:sz w:val="28"/>
          <w:szCs w:val="28"/>
        </w:rPr>
      </w:pPr>
    </w:p>
    <w:p w:rsidR="0093405E" w:rsidRPr="0093405E" w:rsidRDefault="00DC6853" w:rsidP="0093405E">
      <w:pPr>
        <w:pStyle w:val="DokumentObsah"/>
        <w:rPr>
          <w:sz w:val="36"/>
          <w:szCs w:val="34"/>
        </w:rPr>
      </w:pPr>
      <w:bookmarkStart w:id="0" w:name="_GoBack"/>
      <w:r>
        <w:rPr>
          <w:sz w:val="36"/>
          <w:szCs w:val="34"/>
        </w:rPr>
        <w:t xml:space="preserve">Hudební festivaly v současnosti navštěvuje skoro třetina lidí </w:t>
      </w:r>
      <w:bookmarkEnd w:id="0"/>
      <w:r w:rsidR="006D7F3D">
        <w:rPr>
          <w:b w:val="0"/>
          <w:sz w:val="32"/>
          <w:szCs w:val="34"/>
        </w:rPr>
        <w:t>Vedle hudební nabídky se pro ně rozhodují i na základě předchozí zkušenosti nebo podle vzdálenosti od bydliště</w:t>
      </w:r>
    </w:p>
    <w:p w:rsidR="00DC6853" w:rsidRDefault="00DC6853" w:rsidP="00DC6853">
      <w:pPr>
        <w:pStyle w:val="DokumentObsah"/>
        <w:jc w:val="both"/>
        <w:rPr>
          <w:rFonts w:eastAsia="Times New Roman"/>
          <w:bCs/>
          <w:i/>
          <w:color w:val="262626"/>
          <w:sz w:val="22"/>
        </w:rPr>
      </w:pPr>
    </w:p>
    <w:p w:rsidR="00DC6853" w:rsidRPr="00DC6853" w:rsidRDefault="00DC6853" w:rsidP="003763F9">
      <w:pPr>
        <w:pStyle w:val="DokumentObsah"/>
        <w:jc w:val="both"/>
        <w:rPr>
          <w:rFonts w:eastAsia="Times New Roman"/>
          <w:bCs/>
          <w:i/>
          <w:color w:val="262626"/>
          <w:sz w:val="22"/>
        </w:rPr>
      </w:pPr>
      <w:r w:rsidRPr="00DC6853">
        <w:rPr>
          <w:rFonts w:eastAsia="Times New Roman"/>
          <w:bCs/>
          <w:i/>
          <w:color w:val="262626"/>
          <w:sz w:val="22"/>
        </w:rPr>
        <w:t xml:space="preserve">Hudební festivaly jsou pro </w:t>
      </w:r>
      <w:r>
        <w:rPr>
          <w:rFonts w:eastAsia="Times New Roman"/>
          <w:bCs/>
          <w:i/>
          <w:color w:val="262626"/>
          <w:sz w:val="22"/>
        </w:rPr>
        <w:t>řadu</w:t>
      </w:r>
      <w:r w:rsidRPr="00DC6853">
        <w:rPr>
          <w:rFonts w:eastAsia="Times New Roman"/>
          <w:bCs/>
          <w:i/>
          <w:color w:val="262626"/>
          <w:sz w:val="22"/>
        </w:rPr>
        <w:t xml:space="preserve"> lidí jedním ze symbolů léta. V české internetové populaci je v současnosti navštěvuje necelá třetina lidí a další třetina na ně jezdila alespoň v minulosti. </w:t>
      </w:r>
      <w:r w:rsidRPr="00A377F7">
        <w:rPr>
          <w:rFonts w:eastAsia="Times New Roman"/>
          <w:bCs/>
          <w:i/>
          <w:color w:val="262626"/>
          <w:sz w:val="22"/>
        </w:rPr>
        <w:t xml:space="preserve">Když se řekne „hudební festival“, </w:t>
      </w:r>
      <w:r w:rsidR="003763F9" w:rsidRPr="00A377F7">
        <w:rPr>
          <w:rFonts w:eastAsia="Times New Roman"/>
          <w:bCs/>
          <w:i/>
          <w:color w:val="262626"/>
          <w:sz w:val="22"/>
        </w:rPr>
        <w:t xml:space="preserve">lidé si zpravidla </w:t>
      </w:r>
      <w:r w:rsidR="0009713C" w:rsidRPr="00A377F7">
        <w:rPr>
          <w:rFonts w:eastAsia="Times New Roman"/>
          <w:bCs/>
          <w:i/>
          <w:color w:val="262626"/>
          <w:sz w:val="22"/>
        </w:rPr>
        <w:t xml:space="preserve">jako první </w:t>
      </w:r>
      <w:r w:rsidR="003763F9" w:rsidRPr="00A377F7">
        <w:rPr>
          <w:rFonts w:eastAsia="Times New Roman"/>
          <w:bCs/>
          <w:i/>
          <w:color w:val="262626"/>
          <w:sz w:val="22"/>
        </w:rPr>
        <w:t>vybaví ty největší tuzemské akce typu Colours of Ostrava, Rock For People nebo České hrady.</w:t>
      </w:r>
      <w:r w:rsidR="003763F9">
        <w:rPr>
          <w:rFonts w:eastAsia="Times New Roman"/>
          <w:bCs/>
          <w:i/>
          <w:color w:val="262626"/>
          <w:sz w:val="22"/>
        </w:rPr>
        <w:t xml:space="preserve"> </w:t>
      </w:r>
      <w:r w:rsidRPr="00DC6853">
        <w:rPr>
          <w:rFonts w:eastAsia="Times New Roman"/>
          <w:bCs/>
          <w:i/>
          <w:color w:val="262626"/>
          <w:sz w:val="22"/>
        </w:rPr>
        <w:t xml:space="preserve">Podle čeho si lidé </w:t>
      </w:r>
      <w:r>
        <w:rPr>
          <w:rFonts w:eastAsia="Times New Roman"/>
          <w:bCs/>
          <w:i/>
          <w:color w:val="262626"/>
          <w:sz w:val="22"/>
        </w:rPr>
        <w:t>tyto akce</w:t>
      </w:r>
      <w:r w:rsidRPr="00DC6853">
        <w:rPr>
          <w:rFonts w:eastAsia="Times New Roman"/>
          <w:bCs/>
          <w:i/>
          <w:color w:val="262626"/>
          <w:sz w:val="22"/>
        </w:rPr>
        <w:t xml:space="preserve"> vybírají, jakým typům akcí dávají přednost nebo kde se o nich nejčastěji dozvídají – i takové otázky zjišťoval aktuální výzkum společnosti Nielsen Admosphere. Zúčastnila se ho pětistovka respondentů z</w:t>
      </w:r>
      <w:r w:rsidR="00A377F7">
        <w:rPr>
          <w:rFonts w:eastAsia="Times New Roman"/>
          <w:bCs/>
          <w:i/>
          <w:color w:val="262626"/>
          <w:sz w:val="22"/>
        </w:rPr>
        <w:t> České národního panelu</w:t>
      </w:r>
      <w:r w:rsidRPr="00DC6853">
        <w:rPr>
          <w:rFonts w:eastAsia="Times New Roman"/>
          <w:bCs/>
          <w:i/>
          <w:color w:val="262626"/>
          <w:sz w:val="22"/>
        </w:rPr>
        <w:t xml:space="preserve"> starší 15 let. </w:t>
      </w:r>
    </w:p>
    <w:p w:rsidR="0019477A" w:rsidRDefault="0019477A" w:rsidP="00DC6853">
      <w:pPr>
        <w:pStyle w:val="DokumentObsah"/>
        <w:jc w:val="both"/>
        <w:rPr>
          <w:iCs/>
          <w:color w:val="808080"/>
          <w:sz w:val="22"/>
        </w:rPr>
      </w:pPr>
    </w:p>
    <w:p w:rsidR="00DC6853" w:rsidRDefault="00DC685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30 % respondentů ve výzkumu odpovědělo, </w:t>
      </w:r>
      <w:r>
        <w:rPr>
          <w:rFonts w:ascii="Calibri" w:eastAsia="Calibri" w:hAnsi="Calibri" w:cs="Tahoma"/>
          <w:iCs/>
          <w:noProof/>
          <w:sz w:val="22"/>
          <w:szCs w:val="22"/>
        </w:rPr>
        <w:t>že navštěvuje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 hudební festivaly. Největší oblibě se přitom</w:t>
      </w:r>
      <w:r>
        <w:rPr>
          <w:rFonts w:ascii="Calibri" w:eastAsia="Calibri" w:hAnsi="Calibri" w:cs="Tahoma"/>
          <w:iCs/>
          <w:noProof/>
          <w:sz w:val="22"/>
          <w:szCs w:val="22"/>
        </w:rPr>
        <w:t xml:space="preserve"> tyto akce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 těší u lidí ve věku 15–34 let. Na festivaly do zahraničí jezdí nebo někdy v životě jezdilo</w:t>
      </w:r>
      <w:r>
        <w:rPr>
          <w:rFonts w:ascii="Calibri" w:eastAsia="Calibri" w:hAnsi="Calibri" w:cs="Tahoma"/>
          <w:iCs/>
          <w:noProof/>
          <w:sz w:val="22"/>
          <w:szCs w:val="22"/>
        </w:rPr>
        <w:t xml:space="preserve"> 5 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% dotázaných. </w:t>
      </w:r>
    </w:p>
    <w:p w:rsidR="00DC6853" w:rsidRPr="00DC6853" w:rsidRDefault="00DC685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</w:p>
    <w:p w:rsidR="00DC6853" w:rsidRPr="00DC6853" w:rsidRDefault="00EB74D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16E4EA0" wp14:editId="3317CF89">
            <wp:extent cx="5876752" cy="40072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9792" cy="400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53" w:rsidRDefault="00DC685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</w:p>
    <w:p w:rsidR="003763F9" w:rsidRDefault="003763F9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</w:p>
    <w:p w:rsidR="003763F9" w:rsidRDefault="003763F9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  <w:r w:rsidRPr="00A377F7">
        <w:rPr>
          <w:rFonts w:ascii="Calibri" w:eastAsia="Calibri" w:hAnsi="Calibri" w:cs="Tahoma"/>
          <w:iCs/>
          <w:noProof/>
          <w:sz w:val="22"/>
          <w:szCs w:val="22"/>
        </w:rPr>
        <w:lastRenderedPageBreak/>
        <w:t>V žebříčku TOP 5 festivalů, které si respondenti vybaví jako první, se umisťují zpravidla ty největší tuzemské akce, což lze přičíst i jejich velkým reklamním kampaním. Nejznámější jsou tak mezi dotázanými festivaly Colours of Ostrava (jeho úspěch v žebříčku spontánní znalosti lze vysvětlit i tím, že dotazování proběhlo v polovině července, tedy pouze několik dní před začátkem této akce), Rock For People, České hrady, Votvírák nebo Masters of Rock.</w:t>
      </w:r>
    </w:p>
    <w:p w:rsidR="003763F9" w:rsidRDefault="003763F9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</w:p>
    <w:p w:rsidR="00DC6853" w:rsidRDefault="00DC685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  <w:r w:rsidRPr="00DC6853">
        <w:rPr>
          <w:rFonts w:ascii="Calibri" w:eastAsia="Calibri" w:hAnsi="Calibri" w:cs="Tahoma"/>
          <w:iCs/>
          <w:noProof/>
          <w:sz w:val="22"/>
          <w:szCs w:val="22"/>
        </w:rPr>
        <w:t>O hudebních festivalech se lidé nejčastěji dozvídají z internetu, ať už z webových stránek, nebo sociálních sítí (68 %). Na druhém místě jim o nich říkají jejich přátelé a známí (48 %) a 41 % získává tyto informace z billboardů, plakátů a dalších typů venkovní reklamy.</w:t>
      </w:r>
    </w:p>
    <w:p w:rsidR="00DC6853" w:rsidRPr="00DC6853" w:rsidRDefault="00DC685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</w:p>
    <w:p w:rsidR="00DC6853" w:rsidRDefault="00DC685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  <w:r w:rsidRPr="00DC6853">
        <w:rPr>
          <w:rFonts w:ascii="Calibri" w:eastAsia="Calibri" w:hAnsi="Calibri" w:cs="Tahoma"/>
          <w:iCs/>
          <w:noProof/>
          <w:sz w:val="22"/>
          <w:szCs w:val="22"/>
        </w:rPr>
        <w:t>A podle čeho se lidé rozhodují, zda na hudební festival vyjet? Logicky nejčastěji podle aktuální hudební nabídky a programu (v 8</w:t>
      </w:r>
      <w:r w:rsidR="003677A9">
        <w:rPr>
          <w:rFonts w:ascii="Calibri" w:eastAsia="Calibri" w:hAnsi="Calibri" w:cs="Tahoma"/>
          <w:iCs/>
          <w:noProof/>
          <w:sz w:val="22"/>
          <w:szCs w:val="22"/>
        </w:rPr>
        <w:t>2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 % případů), důležitými kritérii výběru jsou ale také předchozí zkušenosti s akcí (53 %), její vzdálenost od místa bydliště </w:t>
      </w:r>
      <w:r w:rsidR="003677A9">
        <w:rPr>
          <w:rFonts w:ascii="Calibri" w:eastAsia="Calibri" w:hAnsi="Calibri" w:cs="Tahoma"/>
          <w:iCs/>
          <w:noProof/>
          <w:sz w:val="22"/>
          <w:szCs w:val="22"/>
        </w:rPr>
        <w:t xml:space="preserve">či dostupnost 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>(4</w:t>
      </w:r>
      <w:r w:rsidR="006D7F3D">
        <w:rPr>
          <w:rFonts w:ascii="Calibri" w:eastAsia="Calibri" w:hAnsi="Calibri" w:cs="Tahoma"/>
          <w:iCs/>
          <w:noProof/>
          <w:sz w:val="22"/>
          <w:szCs w:val="22"/>
        </w:rPr>
        <w:t>4 %) nebo</w:t>
      </w:r>
      <w:r w:rsidR="003677A9">
        <w:rPr>
          <w:rFonts w:ascii="Calibri" w:eastAsia="Calibri" w:hAnsi="Calibri" w:cs="Tahoma"/>
          <w:iCs/>
          <w:noProof/>
          <w:sz w:val="22"/>
          <w:szCs w:val="22"/>
        </w:rPr>
        <w:t xml:space="preserve"> doba, kdy se akce koná (36</w:t>
      </w:r>
      <w:r w:rsidR="006D7F3D">
        <w:rPr>
          <w:rFonts w:ascii="Calibri" w:eastAsia="Calibri" w:hAnsi="Calibri" w:cs="Tahoma"/>
          <w:iCs/>
          <w:noProof/>
          <w:sz w:val="22"/>
          <w:szCs w:val="22"/>
        </w:rPr>
        <w:t xml:space="preserve"> %)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. U této otázky je patrný i mírný rozdíl mezi muži a ženami: zatímco hudba je </w:t>
      </w:r>
      <w:r w:rsidR="003677A9">
        <w:rPr>
          <w:rFonts w:ascii="Calibri" w:eastAsia="Calibri" w:hAnsi="Calibri" w:cs="Tahoma"/>
          <w:iCs/>
          <w:noProof/>
          <w:sz w:val="22"/>
          <w:szCs w:val="22"/>
        </w:rPr>
        <w:t>na festivalech rozhodující pro 86 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>% mužů, pro ženy je kritériem v 79 % případů</w:t>
      </w:r>
      <w:r w:rsidR="003677A9">
        <w:rPr>
          <w:rFonts w:ascii="Calibri" w:eastAsia="Calibri" w:hAnsi="Calibri" w:cs="Tahoma"/>
          <w:iCs/>
          <w:noProof/>
          <w:sz w:val="22"/>
          <w:szCs w:val="22"/>
        </w:rPr>
        <w:t>. U mužů také hraje větší roli cena akce (37 % vs. 27 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>% u žen) a pro ženy je naopak o něco důležitější, zda daný festival na</w:t>
      </w:r>
      <w:r w:rsidR="003677A9">
        <w:rPr>
          <w:rFonts w:ascii="Calibri" w:eastAsia="Calibri" w:hAnsi="Calibri" w:cs="Tahoma"/>
          <w:iCs/>
          <w:noProof/>
          <w:sz w:val="22"/>
          <w:szCs w:val="22"/>
        </w:rPr>
        <w:t>vštěvují i přátelé (37 % vs. 28 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>% u mužů).</w:t>
      </w:r>
    </w:p>
    <w:p w:rsidR="00DC6853" w:rsidRDefault="00DC685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</w:p>
    <w:p w:rsidR="00DC6853" w:rsidRPr="00DC6853" w:rsidRDefault="00EB74D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180CB91" wp14:editId="28D93239">
            <wp:extent cx="5876925" cy="3673078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8972" cy="36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53" w:rsidRPr="00DC6853" w:rsidRDefault="00DC685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</w:p>
    <w:p w:rsidR="00DC6853" w:rsidRPr="00DC6853" w:rsidRDefault="00DC6853" w:rsidP="00DC6853">
      <w:pPr>
        <w:spacing w:line="276" w:lineRule="auto"/>
        <w:ind w:firstLine="0"/>
        <w:textAlignment w:val="baseline"/>
        <w:rPr>
          <w:rFonts w:ascii="Calibri" w:eastAsia="Calibri" w:hAnsi="Calibri" w:cs="Tahoma"/>
          <w:iCs/>
          <w:noProof/>
          <w:sz w:val="22"/>
          <w:szCs w:val="22"/>
        </w:rPr>
      </w:pP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Ti, kteří </w:t>
      </w:r>
      <w:r w:rsidR="006D7F3D">
        <w:rPr>
          <w:rFonts w:ascii="Calibri" w:eastAsia="Calibri" w:hAnsi="Calibri" w:cs="Tahoma"/>
          <w:iCs/>
          <w:noProof/>
          <w:sz w:val="22"/>
          <w:szCs w:val="22"/>
        </w:rPr>
        <w:t>hudební festivaly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 nenavštěvují – ve výzkumu jich bylo 39 % </w:t>
      </w:r>
      <w:r w:rsidR="003677A9" w:rsidRPr="00DC6853">
        <w:rPr>
          <w:rFonts w:ascii="Calibri" w:eastAsia="Calibri" w:hAnsi="Calibri" w:cs="Tahoma"/>
          <w:iCs/>
          <w:noProof/>
          <w:sz w:val="22"/>
          <w:szCs w:val="22"/>
        </w:rPr>
        <w:t>–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, pro své rozhodnutí </w:t>
      </w:r>
      <w:r w:rsidR="003677A9">
        <w:rPr>
          <w:rFonts w:ascii="Calibri" w:eastAsia="Calibri" w:hAnsi="Calibri" w:cs="Tahoma"/>
          <w:iCs/>
          <w:noProof/>
          <w:sz w:val="22"/>
          <w:szCs w:val="22"/>
        </w:rPr>
        <w:t>uvádějí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 různé důvody: nejčastěji zmiňovaný je </w:t>
      </w:r>
      <w:r w:rsidR="003677A9">
        <w:rPr>
          <w:rFonts w:ascii="Calibri" w:eastAsia="Calibri" w:hAnsi="Calibri" w:cs="Tahoma"/>
          <w:iCs/>
          <w:noProof/>
          <w:sz w:val="22"/>
          <w:szCs w:val="22"/>
        </w:rPr>
        <w:t xml:space="preserve">přitom 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 xml:space="preserve">nedostatek času (37 %). 27 % lidí nemá tyto akce rádo, 24 % je nenavštěvuje kvůli nedostatku peněz a pětina proto, že </w:t>
      </w:r>
      <w:r w:rsidR="006D6E84">
        <w:rPr>
          <w:rFonts w:ascii="Calibri" w:eastAsia="Calibri" w:hAnsi="Calibri" w:cs="Tahoma"/>
          <w:iCs/>
          <w:noProof/>
          <w:sz w:val="22"/>
          <w:szCs w:val="22"/>
        </w:rPr>
        <w:t xml:space="preserve">na ně 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>nemá s kým</w:t>
      </w:r>
      <w:r w:rsidR="006D6E84">
        <w:rPr>
          <w:rFonts w:ascii="Calibri" w:eastAsia="Calibri" w:hAnsi="Calibri" w:cs="Tahoma"/>
          <w:iCs/>
          <w:noProof/>
          <w:sz w:val="22"/>
          <w:szCs w:val="22"/>
        </w:rPr>
        <w:t xml:space="preserve"> </w:t>
      </w:r>
      <w:r w:rsidRPr="00DC6853">
        <w:rPr>
          <w:rFonts w:ascii="Calibri" w:eastAsia="Calibri" w:hAnsi="Calibri" w:cs="Tahoma"/>
          <w:iCs/>
          <w:noProof/>
          <w:sz w:val="22"/>
          <w:szCs w:val="22"/>
        </w:rPr>
        <w:t>jezdit.</w:t>
      </w:r>
    </w:p>
    <w:p w:rsidR="00AB23E3" w:rsidRDefault="00AB23E3" w:rsidP="006535EA">
      <w:pPr>
        <w:spacing w:line="276" w:lineRule="auto"/>
        <w:ind w:firstLine="0"/>
        <w:textAlignment w:val="baseline"/>
        <w:rPr>
          <w:rFonts w:ascii="Calibri" w:hAnsi="Calibri"/>
          <w:sz w:val="22"/>
          <w:szCs w:val="22"/>
        </w:rPr>
      </w:pPr>
    </w:p>
    <w:p w:rsidR="003677A9" w:rsidRDefault="003677A9" w:rsidP="006535EA">
      <w:pPr>
        <w:spacing w:line="276" w:lineRule="auto"/>
        <w:ind w:firstLine="0"/>
        <w:textAlignment w:val="baseline"/>
        <w:rPr>
          <w:rFonts w:ascii="Calibri" w:hAnsi="Calibri"/>
          <w:sz w:val="22"/>
          <w:szCs w:val="22"/>
        </w:rPr>
      </w:pPr>
    </w:p>
    <w:p w:rsidR="00EB74D3" w:rsidRDefault="00EB74D3" w:rsidP="006535EA">
      <w:pPr>
        <w:spacing w:line="276" w:lineRule="auto"/>
        <w:ind w:firstLine="0"/>
        <w:textAlignment w:val="baseline"/>
        <w:rPr>
          <w:rFonts w:ascii="Calibri" w:hAnsi="Calibri"/>
          <w:sz w:val="22"/>
          <w:szCs w:val="22"/>
        </w:rPr>
      </w:pPr>
    </w:p>
    <w:p w:rsidR="00EB74D3" w:rsidRPr="0019477A" w:rsidRDefault="00EB74D3" w:rsidP="006535EA">
      <w:pPr>
        <w:spacing w:line="276" w:lineRule="auto"/>
        <w:ind w:firstLine="0"/>
        <w:textAlignment w:val="baseline"/>
        <w:rPr>
          <w:rFonts w:ascii="Calibri" w:hAnsi="Calibri"/>
          <w:sz w:val="22"/>
          <w:szCs w:val="22"/>
        </w:rPr>
      </w:pPr>
    </w:p>
    <w:p w:rsidR="00001FB9" w:rsidRPr="0019477A" w:rsidRDefault="00001FB9" w:rsidP="006535EA">
      <w:pPr>
        <w:spacing w:line="276" w:lineRule="auto"/>
        <w:ind w:firstLine="0"/>
        <w:rPr>
          <w:rFonts w:ascii="Calibri" w:eastAsia="Calibri" w:hAnsi="Calibri" w:cs="Tahoma"/>
          <w:iCs/>
          <w:noProof/>
          <w:sz w:val="22"/>
          <w:szCs w:val="22"/>
        </w:rPr>
      </w:pPr>
    </w:p>
    <w:p w:rsidR="00E70BDB" w:rsidRPr="00525EF6" w:rsidRDefault="00E70BDB" w:rsidP="00E70BDB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Eliška Morochovičová 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 w:rsidR="00F700AD">
        <w:rPr>
          <w:rFonts w:ascii="Calibri" w:hAnsi="Calibri"/>
          <w:noProof/>
          <w:color w:val="666666"/>
          <w:sz w:val="22"/>
          <w:szCs w:val="22"/>
        </w:rPr>
        <w:t>Public Relations</w:t>
      </w:r>
    </w:p>
    <w:p w:rsidR="00E70BDB" w:rsidRPr="00525EF6" w:rsidRDefault="00EB74D3" w:rsidP="00E70BDB">
      <w:pPr>
        <w:spacing w:after="240"/>
        <w:ind w:firstLine="0"/>
        <w:contextualSpacing/>
        <w:jc w:val="left"/>
        <w:rPr>
          <w:rStyle w:val="Hypertextovodkaz"/>
          <w:color w:val="666666"/>
        </w:rPr>
      </w:pPr>
      <w:hyperlink r:id="rId10" w:history="1">
        <w:r w:rsidR="00E70BDB" w:rsidRPr="00525EF6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Eliska.Morochovicova@admosphere.cz</w:t>
        </w:r>
      </w:hyperlink>
    </w:p>
    <w:p w:rsidR="00E70BDB" w:rsidRPr="00525EF6" w:rsidRDefault="00E70BDB" w:rsidP="00E70BDB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Nielsen Admosphere, a.s. | Českobratrská 2778/1 | 130 00 Praha 3 | tel.: +420 222 717 763 | </w:t>
      </w:r>
    </w:p>
    <w:p w:rsidR="00E70BDB" w:rsidRPr="00525EF6" w:rsidRDefault="00E70BDB" w:rsidP="00E70BDB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:rsidR="00E70BDB" w:rsidRDefault="00E70BDB" w:rsidP="00E70BDB">
      <w:pPr>
        <w:spacing w:after="240"/>
        <w:ind w:firstLine="0"/>
        <w:contextualSpacing/>
        <w:jc w:val="left"/>
        <w:rPr>
          <w:rFonts w:ascii="Calibri" w:hAnsi="Calibri"/>
          <w:b/>
          <w:bCs/>
          <w:noProof/>
          <w:color w:val="FF9900"/>
          <w:sz w:val="22"/>
          <w:szCs w:val="22"/>
        </w:rPr>
      </w:pPr>
    </w:p>
    <w:p w:rsidR="00DC6853" w:rsidRDefault="00DC6853" w:rsidP="00DC6853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b/>
          <w:bCs/>
          <w:noProof/>
          <w:color w:val="FF9900"/>
          <w:sz w:val="22"/>
          <w:szCs w:val="22"/>
        </w:rPr>
        <w:t>Lucie Vlčková</w:t>
      </w:r>
      <w:r w:rsidRPr="00E9611E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 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Senior Research Manager</w:t>
      </w:r>
    </w:p>
    <w:p w:rsidR="00DC6853" w:rsidRPr="00F061F0" w:rsidRDefault="00EB74D3" w:rsidP="00DC6853">
      <w:pPr>
        <w:spacing w:after="240"/>
        <w:ind w:firstLine="0"/>
        <w:contextualSpacing/>
        <w:jc w:val="left"/>
        <w:rPr>
          <w:rStyle w:val="Hypertextovodkaz"/>
          <w:color w:val="666666"/>
        </w:rPr>
      </w:pPr>
      <w:hyperlink r:id="rId11" w:history="1">
        <w:r w:rsidR="00DC6853" w:rsidRPr="00F061F0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Lucie.Vlckova@admosphere.cz</w:t>
        </w:r>
      </w:hyperlink>
    </w:p>
    <w:p w:rsidR="00DC6853" w:rsidRDefault="00DC6853" w:rsidP="00DC6853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</w:p>
    <w:p w:rsidR="00DC6853" w:rsidRPr="00F061F0" w:rsidRDefault="00DC6853" w:rsidP="00DC6853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:rsidR="0094617B" w:rsidRPr="009700B7" w:rsidRDefault="0094617B" w:rsidP="00F46CE0">
      <w:pPr>
        <w:spacing w:line="276" w:lineRule="auto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:rsidR="0094617B" w:rsidRPr="007D3C9F" w:rsidRDefault="0094617B" w:rsidP="0094617B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:rsidR="0094617B" w:rsidRPr="007D3C9F" w:rsidRDefault="0094617B" w:rsidP="0094617B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2" w:history="1">
        <w:r w:rsidRPr="007D3C9F">
          <w:rPr>
            <w:color w:val="808080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>marketingovému výzkumu (online průzkumy, CAWI, CATI pr</w:t>
      </w:r>
      <w:r w:rsidR="00EA578C">
        <w:rPr>
          <w:color w:val="808080"/>
          <w:sz w:val="20"/>
          <w:szCs w:val="20"/>
        </w:rPr>
        <w:t>ůzkumy…) a </w:t>
      </w:r>
      <w:r>
        <w:rPr>
          <w:color w:val="808080"/>
          <w:sz w:val="20"/>
          <w:szCs w:val="20"/>
        </w:rPr>
        <w:t>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Nielsen.</w:t>
      </w:r>
    </w:p>
    <w:p w:rsidR="0094617B" w:rsidRPr="00D465CA" w:rsidRDefault="0094617B" w:rsidP="0094617B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Nielsen Admosphere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>společnost Adwind Software, která vyv</w:t>
      </w:r>
      <w:r w:rsidR="00EA578C">
        <w:rPr>
          <w:color w:val="808080"/>
          <w:sz w:val="20"/>
          <w:szCs w:val="20"/>
        </w:rPr>
        <w:t>íjí software pro práci s daty z </w:t>
      </w:r>
      <w:r w:rsidRPr="007D3C9F">
        <w:rPr>
          <w:color w:val="808080"/>
          <w:sz w:val="20"/>
          <w:szCs w:val="20"/>
        </w:rPr>
        <w:t>výzkumů sledovanosti a monitoringu reklamy.</w:t>
      </w:r>
    </w:p>
    <w:p w:rsidR="00133D59" w:rsidRPr="00E9611E" w:rsidRDefault="00133D59" w:rsidP="00E9611E"/>
    <w:sectPr w:rsidR="00133D59" w:rsidRPr="00E9611E" w:rsidSect="000E430A">
      <w:headerReference w:type="default" r:id="rId13"/>
      <w:footerReference w:type="default" r:id="rId14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FE" w:rsidRDefault="000836FE" w:rsidP="007D6DCB">
      <w:pPr>
        <w:spacing w:line="240" w:lineRule="auto"/>
      </w:pPr>
      <w:r>
        <w:separator/>
      </w:r>
    </w:p>
  </w:endnote>
  <w:endnote w:type="continuationSeparator" w:id="0">
    <w:p w:rsidR="000836FE" w:rsidRDefault="000836FE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0A" w:rsidRPr="009C7966" w:rsidRDefault="003677A9" w:rsidP="000E430A">
    <w:pPr>
      <w:pStyle w:val="Zpat"/>
      <w:jc w:val="right"/>
      <w:rPr>
        <w:rFonts w:ascii="Calibri" w:hAnsi="Calibri"/>
        <w:color w:val="FF9900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2555875</wp:posOffset>
          </wp:positionH>
          <wp:positionV relativeFrom="paragraph">
            <wp:posOffset>117475</wp:posOffset>
          </wp:positionV>
          <wp:extent cx="2914650" cy="72390"/>
          <wp:effectExtent l="0" t="0" r="0" b="3810"/>
          <wp:wrapSquare wrapText="bothSides"/>
          <wp:docPr id="80" name="obrázek 80" descr="+AD_in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+AD_in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5596255</wp:posOffset>
              </wp:positionH>
              <wp:positionV relativeFrom="paragraph">
                <wp:posOffset>97155</wp:posOffset>
              </wp:positionV>
              <wp:extent cx="0" cy="114300"/>
              <wp:effectExtent l="9525" t="5080" r="9525" b="13970"/>
              <wp:wrapNone/>
              <wp:docPr id="5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4F4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40.65pt;margin-top:7.65pt;width:0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" strokecolor="#707276"/>
          </w:pict>
        </mc:Fallback>
      </mc:AlternateContent>
    </w:r>
    <w:r>
      <w:rPr>
        <w:rFonts w:ascii="Calibri" w:hAnsi="Calibri"/>
        <w:noProof/>
        <w:color w:val="FF9900"/>
        <w:sz w:val="20"/>
        <w:szCs w:val="20"/>
        <w:lang w:val="cs-CZ"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-85090</wp:posOffset>
              </wp:positionV>
              <wp:extent cx="5943600" cy="1270"/>
              <wp:effectExtent l="19050" t="13335" r="19050" b="13970"/>
              <wp:wrapNone/>
              <wp:docPr id="2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3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46266" id="Group 73" o:spid="_x0000_s1026" style="position:absolute;margin-left:-5.6pt;margin-top:-6.7pt;width:468pt;height:.1pt;z-index:251657216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">
              <v:shape id="AutoShape 74" o:spid="_x0000_s1027" type="#_x0000_t32" style="position:absolute;left:1418;top:15350;width:91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D0l8MAAADaAAAADwAAAGRycy9kb3ducmV2LnhtbESP0WrCQBRE3wv+w3KFvhTd1BaR6CpW&#10;lPpS0OgHXHavSTB7N2bXmPr1rlDo4zAzZ5jZorOVaKnxpWMF78MEBLF2puRcwfGwGUxA+IBssHJM&#10;Cn7Jw2Lee5lhatyN99RmIRcRwj5FBUUIdSql1wVZ9ENXE0fv5BqLIcoml6bBW4TbSo6SZCwtlhwX&#10;CqxpVZA+Z1er4LPs9NfyezfJ7vLyc9bryrdvG6Ve+91yCiJQF/7Df+2tUfABzyvx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g9JfDAAAA2gAAAA8AAAAAAAAAAAAA&#10;AAAAoQIAAGRycy9kb3ducmV2LnhtbFBLBQYAAAAABAAEAPkAAACRAwAAAAA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18YMEAAADaAAAADwAAAGRycy9kb3ducmV2LnhtbESPQWvCQBSE7wX/w/IEL6VulFJqmo2I&#10;KEhv2nh/ZF83odm3Ibuazb93C4Ueh5n5him20XbiToNvHStYLTMQxLXTLRsF1dfx5R2ED8gaO8ek&#10;YCIP23L2VGCu3chnul+CEQnCPkcFTQh9LqWvG7Lol64nTt63GyyGJAcj9YBjgttOrrPsTVpsOS00&#10;2NO+ofrncrMKduN5ummqrqb7PDzzZh+nah2VWszj7gNEoBj+w3/tk1bwCr9X0g2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XxgwQAAANoAAAAPAAAAAAAAAAAAAAAA&#10;AKECAABkcnMvZG93bnJldi54bWxQSwUGAAAAAAQABAD5AAAAjwMAAAAA&#10;" strokecolor="#f90" strokeweight="2pt"/>
            </v:group>
          </w:pict>
        </mc:Fallback>
      </mc:AlternateContent>
    </w:r>
    <w:r w:rsidR="00FA7BDA" w:rsidRPr="009C7966">
      <w:rPr>
        <w:rFonts w:ascii="Calibri" w:hAnsi="Calibri"/>
        <w:color w:val="FF9900"/>
        <w:sz w:val="20"/>
        <w:szCs w:val="20"/>
      </w:rPr>
      <w:fldChar w:fldCharType="begin"/>
    </w:r>
    <w:r w:rsidR="000E430A" w:rsidRPr="009C7966">
      <w:rPr>
        <w:rFonts w:ascii="Calibri" w:hAnsi="Calibri"/>
        <w:color w:val="FF9900"/>
        <w:sz w:val="20"/>
        <w:szCs w:val="20"/>
      </w:rPr>
      <w:instrText xml:space="preserve"> PAGE   \* MERGEFORMAT </w:instrText>
    </w:r>
    <w:r w:rsidR="00FA7BDA" w:rsidRPr="009C7966">
      <w:rPr>
        <w:rFonts w:ascii="Calibri" w:hAnsi="Calibri"/>
        <w:color w:val="FF9900"/>
        <w:sz w:val="20"/>
        <w:szCs w:val="20"/>
      </w:rPr>
      <w:fldChar w:fldCharType="separate"/>
    </w:r>
    <w:r w:rsidR="00EB74D3">
      <w:rPr>
        <w:rFonts w:ascii="Calibri" w:hAnsi="Calibri"/>
        <w:noProof/>
        <w:color w:val="FF9900"/>
        <w:sz w:val="20"/>
        <w:szCs w:val="20"/>
      </w:rPr>
      <w:t>1</w:t>
    </w:r>
    <w:r w:rsidR="00FA7BDA" w:rsidRPr="009C7966">
      <w:rPr>
        <w:rFonts w:ascii="Calibri" w:hAnsi="Calibri"/>
        <w:color w:val="FF99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FE" w:rsidRDefault="000836FE" w:rsidP="007D6DCB">
      <w:pPr>
        <w:spacing w:line="240" w:lineRule="auto"/>
      </w:pPr>
      <w:r>
        <w:separator/>
      </w:r>
    </w:p>
  </w:footnote>
  <w:footnote w:type="continuationSeparator" w:id="0">
    <w:p w:rsidR="000836FE" w:rsidRDefault="000836FE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28" w:rsidRDefault="005F3428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</w:p>
  <w:p w:rsidR="00E9611E" w:rsidRDefault="00E9611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</w:t>
    </w:r>
    <w:r w:rsidR="006339EC">
      <w:rPr>
        <w:rFonts w:ascii="Calibri" w:hAnsi="Calibri"/>
        <w:b/>
        <w:color w:val="707276"/>
        <w:sz w:val="20"/>
        <w:szCs w:val="20"/>
      </w:rPr>
      <w:t xml:space="preserve">elsen Admosphere, a.s., Praha, </w:t>
    </w:r>
    <w:r w:rsidR="006D7F3D">
      <w:rPr>
        <w:rFonts w:ascii="Calibri" w:hAnsi="Calibri"/>
        <w:b/>
        <w:color w:val="707276"/>
        <w:sz w:val="20"/>
        <w:szCs w:val="20"/>
      </w:rPr>
      <w:t>2</w:t>
    </w:r>
    <w:r w:rsidR="00EB74D3">
      <w:rPr>
        <w:rFonts w:ascii="Calibri" w:hAnsi="Calibri"/>
        <w:b/>
        <w:color w:val="707276"/>
        <w:sz w:val="20"/>
        <w:szCs w:val="20"/>
      </w:rPr>
      <w:t>5</w:t>
    </w:r>
    <w:r w:rsidR="00FC76EB">
      <w:rPr>
        <w:rFonts w:ascii="Calibri" w:hAnsi="Calibri"/>
        <w:b/>
        <w:color w:val="707276"/>
        <w:sz w:val="20"/>
        <w:szCs w:val="20"/>
      </w:rPr>
      <w:t>.</w:t>
    </w:r>
    <w:r>
      <w:rPr>
        <w:rFonts w:ascii="Calibri" w:hAnsi="Calibri"/>
        <w:b/>
        <w:color w:val="707276"/>
        <w:sz w:val="20"/>
        <w:szCs w:val="20"/>
      </w:rPr>
      <w:t xml:space="preserve"> </w:t>
    </w:r>
    <w:r w:rsidR="00DC6853">
      <w:rPr>
        <w:rFonts w:ascii="Calibri" w:hAnsi="Calibri"/>
        <w:b/>
        <w:color w:val="707276"/>
        <w:sz w:val="20"/>
        <w:szCs w:val="20"/>
      </w:rPr>
      <w:t>7</w:t>
    </w:r>
    <w:r w:rsidR="00D3350D">
      <w:rPr>
        <w:rFonts w:ascii="Calibri" w:hAnsi="Calibri"/>
        <w:b/>
        <w:color w:val="707276"/>
        <w:sz w:val="20"/>
        <w:szCs w:val="20"/>
      </w:rPr>
      <w:t>. 201</w:t>
    </w:r>
    <w:r w:rsidR="00610CF0">
      <w:rPr>
        <w:rFonts w:ascii="Calibri" w:hAnsi="Calibri"/>
        <w:b/>
        <w:color w:val="707276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5E3F63E5"/>
    <w:multiLevelType w:val="hybridMultilevel"/>
    <w:tmpl w:val="50009B8E"/>
    <w:lvl w:ilvl="0" w:tplc="BCDCE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4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22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66F"/>
    <w:rsid w:val="00000FC2"/>
    <w:rsid w:val="00001FB9"/>
    <w:rsid w:val="00011D82"/>
    <w:rsid w:val="000131AA"/>
    <w:rsid w:val="000132E0"/>
    <w:rsid w:val="00014ED4"/>
    <w:rsid w:val="00016C78"/>
    <w:rsid w:val="00020A68"/>
    <w:rsid w:val="0002244E"/>
    <w:rsid w:val="00022E5B"/>
    <w:rsid w:val="00023211"/>
    <w:rsid w:val="000237F1"/>
    <w:rsid w:val="000263CC"/>
    <w:rsid w:val="0003068F"/>
    <w:rsid w:val="00033336"/>
    <w:rsid w:val="00042676"/>
    <w:rsid w:val="00042A11"/>
    <w:rsid w:val="00042ED2"/>
    <w:rsid w:val="00042EDB"/>
    <w:rsid w:val="00045212"/>
    <w:rsid w:val="00051AE7"/>
    <w:rsid w:val="000579DC"/>
    <w:rsid w:val="00061022"/>
    <w:rsid w:val="00065DEA"/>
    <w:rsid w:val="00066620"/>
    <w:rsid w:val="00070A16"/>
    <w:rsid w:val="000719F9"/>
    <w:rsid w:val="00073BFB"/>
    <w:rsid w:val="0007425F"/>
    <w:rsid w:val="000752DE"/>
    <w:rsid w:val="0007709A"/>
    <w:rsid w:val="000836FE"/>
    <w:rsid w:val="000848FF"/>
    <w:rsid w:val="00086BFD"/>
    <w:rsid w:val="0008725E"/>
    <w:rsid w:val="00090B54"/>
    <w:rsid w:val="00096903"/>
    <w:rsid w:val="0009713C"/>
    <w:rsid w:val="000A1ED8"/>
    <w:rsid w:val="000B1361"/>
    <w:rsid w:val="000B2F00"/>
    <w:rsid w:val="000B44D2"/>
    <w:rsid w:val="000C2E5E"/>
    <w:rsid w:val="000C355A"/>
    <w:rsid w:val="000D0776"/>
    <w:rsid w:val="000D4647"/>
    <w:rsid w:val="000D6B77"/>
    <w:rsid w:val="000E0152"/>
    <w:rsid w:val="000E41BA"/>
    <w:rsid w:val="000E430A"/>
    <w:rsid w:val="000F3E91"/>
    <w:rsid w:val="000F54CD"/>
    <w:rsid w:val="001023C9"/>
    <w:rsid w:val="0011272F"/>
    <w:rsid w:val="00115B4D"/>
    <w:rsid w:val="00123E60"/>
    <w:rsid w:val="00133D59"/>
    <w:rsid w:val="0014221F"/>
    <w:rsid w:val="00154ED2"/>
    <w:rsid w:val="001553E8"/>
    <w:rsid w:val="00161B37"/>
    <w:rsid w:val="0016245D"/>
    <w:rsid w:val="00163F49"/>
    <w:rsid w:val="00165FAE"/>
    <w:rsid w:val="0017617E"/>
    <w:rsid w:val="0017693C"/>
    <w:rsid w:val="00184328"/>
    <w:rsid w:val="0018764F"/>
    <w:rsid w:val="001907A6"/>
    <w:rsid w:val="001917CD"/>
    <w:rsid w:val="00191878"/>
    <w:rsid w:val="00192958"/>
    <w:rsid w:val="00193018"/>
    <w:rsid w:val="0019477A"/>
    <w:rsid w:val="0019612B"/>
    <w:rsid w:val="00196CF2"/>
    <w:rsid w:val="001A034D"/>
    <w:rsid w:val="001A1063"/>
    <w:rsid w:val="001A2661"/>
    <w:rsid w:val="001A3486"/>
    <w:rsid w:val="001B45B5"/>
    <w:rsid w:val="001B7BC9"/>
    <w:rsid w:val="001B7CB1"/>
    <w:rsid w:val="001C0D46"/>
    <w:rsid w:val="001C5391"/>
    <w:rsid w:val="001C6CDC"/>
    <w:rsid w:val="001C6F07"/>
    <w:rsid w:val="001C6F62"/>
    <w:rsid w:val="001C7314"/>
    <w:rsid w:val="001E68DF"/>
    <w:rsid w:val="001E71C8"/>
    <w:rsid w:val="001F3B99"/>
    <w:rsid w:val="001F6482"/>
    <w:rsid w:val="00201305"/>
    <w:rsid w:val="00202BAF"/>
    <w:rsid w:val="00214097"/>
    <w:rsid w:val="00215953"/>
    <w:rsid w:val="002204FF"/>
    <w:rsid w:val="00220C0D"/>
    <w:rsid w:val="0022792D"/>
    <w:rsid w:val="00230E88"/>
    <w:rsid w:val="002318BF"/>
    <w:rsid w:val="002327DA"/>
    <w:rsid w:val="002334DD"/>
    <w:rsid w:val="00233D55"/>
    <w:rsid w:val="00234F2E"/>
    <w:rsid w:val="0023545C"/>
    <w:rsid w:val="00246833"/>
    <w:rsid w:val="00251488"/>
    <w:rsid w:val="002521D4"/>
    <w:rsid w:val="002537C2"/>
    <w:rsid w:val="00257B77"/>
    <w:rsid w:val="00260ECC"/>
    <w:rsid w:val="00261D31"/>
    <w:rsid w:val="002659B3"/>
    <w:rsid w:val="00275F03"/>
    <w:rsid w:val="002762DE"/>
    <w:rsid w:val="00282823"/>
    <w:rsid w:val="0028563A"/>
    <w:rsid w:val="00286F84"/>
    <w:rsid w:val="00294306"/>
    <w:rsid w:val="002A2BC1"/>
    <w:rsid w:val="002A4835"/>
    <w:rsid w:val="002A70B6"/>
    <w:rsid w:val="002C3D51"/>
    <w:rsid w:val="002C634F"/>
    <w:rsid w:val="002D1C5E"/>
    <w:rsid w:val="002D62FB"/>
    <w:rsid w:val="002E5DF7"/>
    <w:rsid w:val="002E7F7D"/>
    <w:rsid w:val="002F1EA5"/>
    <w:rsid w:val="002F5236"/>
    <w:rsid w:val="002F6D35"/>
    <w:rsid w:val="003025A1"/>
    <w:rsid w:val="00311BE7"/>
    <w:rsid w:val="00314520"/>
    <w:rsid w:val="003162D4"/>
    <w:rsid w:val="003216C4"/>
    <w:rsid w:val="0032177A"/>
    <w:rsid w:val="0032209A"/>
    <w:rsid w:val="0033095E"/>
    <w:rsid w:val="003449B9"/>
    <w:rsid w:val="00350206"/>
    <w:rsid w:val="0035223C"/>
    <w:rsid w:val="00355503"/>
    <w:rsid w:val="00361A42"/>
    <w:rsid w:val="00366960"/>
    <w:rsid w:val="003677A9"/>
    <w:rsid w:val="00370016"/>
    <w:rsid w:val="00370B2C"/>
    <w:rsid w:val="00374E28"/>
    <w:rsid w:val="003757B0"/>
    <w:rsid w:val="003763F9"/>
    <w:rsid w:val="00376DED"/>
    <w:rsid w:val="003776C1"/>
    <w:rsid w:val="003807DD"/>
    <w:rsid w:val="0038186A"/>
    <w:rsid w:val="003854EB"/>
    <w:rsid w:val="00385A35"/>
    <w:rsid w:val="00386B0A"/>
    <w:rsid w:val="003875F9"/>
    <w:rsid w:val="0039024E"/>
    <w:rsid w:val="00390857"/>
    <w:rsid w:val="00391DC8"/>
    <w:rsid w:val="00392548"/>
    <w:rsid w:val="003939B3"/>
    <w:rsid w:val="003941AF"/>
    <w:rsid w:val="003A20D0"/>
    <w:rsid w:val="003A2E7B"/>
    <w:rsid w:val="003A4C98"/>
    <w:rsid w:val="003A50B0"/>
    <w:rsid w:val="003B3C0F"/>
    <w:rsid w:val="003B479B"/>
    <w:rsid w:val="003C0A47"/>
    <w:rsid w:val="003C17C8"/>
    <w:rsid w:val="003C2C67"/>
    <w:rsid w:val="003C5899"/>
    <w:rsid w:val="003D5DDF"/>
    <w:rsid w:val="003E4E7A"/>
    <w:rsid w:val="003E5A78"/>
    <w:rsid w:val="003F37A1"/>
    <w:rsid w:val="003F559D"/>
    <w:rsid w:val="003F6FB3"/>
    <w:rsid w:val="003F7FE7"/>
    <w:rsid w:val="004072B3"/>
    <w:rsid w:val="0041110F"/>
    <w:rsid w:val="00411DD9"/>
    <w:rsid w:val="004122B2"/>
    <w:rsid w:val="0041390D"/>
    <w:rsid w:val="004148B0"/>
    <w:rsid w:val="00420264"/>
    <w:rsid w:val="00421D37"/>
    <w:rsid w:val="004222EE"/>
    <w:rsid w:val="004260C0"/>
    <w:rsid w:val="00427E3D"/>
    <w:rsid w:val="00431A46"/>
    <w:rsid w:val="00434E8E"/>
    <w:rsid w:val="00444733"/>
    <w:rsid w:val="0044679A"/>
    <w:rsid w:val="00450A14"/>
    <w:rsid w:val="004524AA"/>
    <w:rsid w:val="0045701E"/>
    <w:rsid w:val="004571F2"/>
    <w:rsid w:val="0046066B"/>
    <w:rsid w:val="00460D98"/>
    <w:rsid w:val="00463029"/>
    <w:rsid w:val="004640D9"/>
    <w:rsid w:val="00467B57"/>
    <w:rsid w:val="00472315"/>
    <w:rsid w:val="00473402"/>
    <w:rsid w:val="00480FD0"/>
    <w:rsid w:val="0048121C"/>
    <w:rsid w:val="004833D5"/>
    <w:rsid w:val="00487861"/>
    <w:rsid w:val="004924A6"/>
    <w:rsid w:val="00493488"/>
    <w:rsid w:val="00496A4F"/>
    <w:rsid w:val="00496FD0"/>
    <w:rsid w:val="004A281E"/>
    <w:rsid w:val="004B0756"/>
    <w:rsid w:val="004C4397"/>
    <w:rsid w:val="004C4E7B"/>
    <w:rsid w:val="004C6816"/>
    <w:rsid w:val="004D0A7E"/>
    <w:rsid w:val="004D1884"/>
    <w:rsid w:val="004D3779"/>
    <w:rsid w:val="004E1039"/>
    <w:rsid w:val="004E1F25"/>
    <w:rsid w:val="004E516A"/>
    <w:rsid w:val="004F1314"/>
    <w:rsid w:val="004F1323"/>
    <w:rsid w:val="004F170C"/>
    <w:rsid w:val="004F5B65"/>
    <w:rsid w:val="004F6000"/>
    <w:rsid w:val="004F7C6F"/>
    <w:rsid w:val="00501700"/>
    <w:rsid w:val="00504C05"/>
    <w:rsid w:val="00505383"/>
    <w:rsid w:val="00512211"/>
    <w:rsid w:val="00520151"/>
    <w:rsid w:val="005209C1"/>
    <w:rsid w:val="00525682"/>
    <w:rsid w:val="00525EF6"/>
    <w:rsid w:val="00526D1D"/>
    <w:rsid w:val="00530675"/>
    <w:rsid w:val="0053085B"/>
    <w:rsid w:val="005343F8"/>
    <w:rsid w:val="005413D5"/>
    <w:rsid w:val="00543996"/>
    <w:rsid w:val="0055562C"/>
    <w:rsid w:val="0056234C"/>
    <w:rsid w:val="005630EF"/>
    <w:rsid w:val="0056642E"/>
    <w:rsid w:val="00570B62"/>
    <w:rsid w:val="0057270C"/>
    <w:rsid w:val="005739A9"/>
    <w:rsid w:val="00575DE3"/>
    <w:rsid w:val="00575F1A"/>
    <w:rsid w:val="0058097A"/>
    <w:rsid w:val="00597246"/>
    <w:rsid w:val="005A0394"/>
    <w:rsid w:val="005A4AEC"/>
    <w:rsid w:val="005B3D37"/>
    <w:rsid w:val="005C3CE2"/>
    <w:rsid w:val="005C3F81"/>
    <w:rsid w:val="005C4ADC"/>
    <w:rsid w:val="005D0D87"/>
    <w:rsid w:val="005D1F60"/>
    <w:rsid w:val="005D391D"/>
    <w:rsid w:val="005D54AE"/>
    <w:rsid w:val="005E19EB"/>
    <w:rsid w:val="005E4C49"/>
    <w:rsid w:val="005E7566"/>
    <w:rsid w:val="005F09C7"/>
    <w:rsid w:val="005F12F5"/>
    <w:rsid w:val="005F199E"/>
    <w:rsid w:val="005F1B5D"/>
    <w:rsid w:val="005F3428"/>
    <w:rsid w:val="005F3F77"/>
    <w:rsid w:val="005F5861"/>
    <w:rsid w:val="005F6BE1"/>
    <w:rsid w:val="00601898"/>
    <w:rsid w:val="00610CF0"/>
    <w:rsid w:val="006121CE"/>
    <w:rsid w:val="00613094"/>
    <w:rsid w:val="00621D90"/>
    <w:rsid w:val="00625BE6"/>
    <w:rsid w:val="006339EC"/>
    <w:rsid w:val="006342BD"/>
    <w:rsid w:val="00637D9B"/>
    <w:rsid w:val="006409E7"/>
    <w:rsid w:val="00642CCA"/>
    <w:rsid w:val="00642E48"/>
    <w:rsid w:val="006535EA"/>
    <w:rsid w:val="00663EC4"/>
    <w:rsid w:val="0066535D"/>
    <w:rsid w:val="00667D53"/>
    <w:rsid w:val="00667E44"/>
    <w:rsid w:val="00674362"/>
    <w:rsid w:val="0067607C"/>
    <w:rsid w:val="006822F2"/>
    <w:rsid w:val="00683F85"/>
    <w:rsid w:val="006874DE"/>
    <w:rsid w:val="0069165F"/>
    <w:rsid w:val="00692F25"/>
    <w:rsid w:val="006946E7"/>
    <w:rsid w:val="006979A4"/>
    <w:rsid w:val="006A5838"/>
    <w:rsid w:val="006B3582"/>
    <w:rsid w:val="006C3488"/>
    <w:rsid w:val="006C4752"/>
    <w:rsid w:val="006C77CD"/>
    <w:rsid w:val="006D4162"/>
    <w:rsid w:val="006D4E5D"/>
    <w:rsid w:val="006D6E84"/>
    <w:rsid w:val="006D792A"/>
    <w:rsid w:val="006D7F3D"/>
    <w:rsid w:val="006E3795"/>
    <w:rsid w:val="006E37DA"/>
    <w:rsid w:val="006E7EB4"/>
    <w:rsid w:val="00700438"/>
    <w:rsid w:val="00713B2A"/>
    <w:rsid w:val="00723124"/>
    <w:rsid w:val="00727AC7"/>
    <w:rsid w:val="00734BC4"/>
    <w:rsid w:val="00735B6D"/>
    <w:rsid w:val="00740745"/>
    <w:rsid w:val="00745E77"/>
    <w:rsid w:val="0076500C"/>
    <w:rsid w:val="00771F74"/>
    <w:rsid w:val="00780E12"/>
    <w:rsid w:val="007846FE"/>
    <w:rsid w:val="00785675"/>
    <w:rsid w:val="007879FB"/>
    <w:rsid w:val="0079117E"/>
    <w:rsid w:val="007A1C47"/>
    <w:rsid w:val="007A250A"/>
    <w:rsid w:val="007A70CA"/>
    <w:rsid w:val="007B0F7F"/>
    <w:rsid w:val="007B247A"/>
    <w:rsid w:val="007B2E84"/>
    <w:rsid w:val="007B3165"/>
    <w:rsid w:val="007B3D37"/>
    <w:rsid w:val="007C28F5"/>
    <w:rsid w:val="007C75E7"/>
    <w:rsid w:val="007C7C4B"/>
    <w:rsid w:val="007D3C9F"/>
    <w:rsid w:val="007D5910"/>
    <w:rsid w:val="007D6DCB"/>
    <w:rsid w:val="007D6EC9"/>
    <w:rsid w:val="007D6F73"/>
    <w:rsid w:val="007E07A9"/>
    <w:rsid w:val="007E2233"/>
    <w:rsid w:val="007E52D0"/>
    <w:rsid w:val="008028CD"/>
    <w:rsid w:val="0080399B"/>
    <w:rsid w:val="008040BF"/>
    <w:rsid w:val="0080476E"/>
    <w:rsid w:val="00812F2D"/>
    <w:rsid w:val="00821A27"/>
    <w:rsid w:val="00832215"/>
    <w:rsid w:val="008326A3"/>
    <w:rsid w:val="00834796"/>
    <w:rsid w:val="008348EE"/>
    <w:rsid w:val="0083561F"/>
    <w:rsid w:val="00836A0D"/>
    <w:rsid w:val="0084121F"/>
    <w:rsid w:val="0084160A"/>
    <w:rsid w:val="008436C2"/>
    <w:rsid w:val="00845F12"/>
    <w:rsid w:val="00853E31"/>
    <w:rsid w:val="00857C84"/>
    <w:rsid w:val="0086295C"/>
    <w:rsid w:val="008662EF"/>
    <w:rsid w:val="008708EE"/>
    <w:rsid w:val="00877C55"/>
    <w:rsid w:val="00883C48"/>
    <w:rsid w:val="00885AF1"/>
    <w:rsid w:val="00894173"/>
    <w:rsid w:val="008A1272"/>
    <w:rsid w:val="008A1918"/>
    <w:rsid w:val="008A550D"/>
    <w:rsid w:val="008A7683"/>
    <w:rsid w:val="008B21B9"/>
    <w:rsid w:val="008B2252"/>
    <w:rsid w:val="008B30D3"/>
    <w:rsid w:val="008B522C"/>
    <w:rsid w:val="008C351B"/>
    <w:rsid w:val="008C3BA6"/>
    <w:rsid w:val="008C5783"/>
    <w:rsid w:val="008C5EA0"/>
    <w:rsid w:val="008C7FDA"/>
    <w:rsid w:val="008D19D0"/>
    <w:rsid w:val="008D4B18"/>
    <w:rsid w:val="008E07C9"/>
    <w:rsid w:val="008E0F26"/>
    <w:rsid w:val="008E1076"/>
    <w:rsid w:val="008E27B8"/>
    <w:rsid w:val="008E39D5"/>
    <w:rsid w:val="008E3E78"/>
    <w:rsid w:val="008E4635"/>
    <w:rsid w:val="00900076"/>
    <w:rsid w:val="009006B2"/>
    <w:rsid w:val="00900F6E"/>
    <w:rsid w:val="00901551"/>
    <w:rsid w:val="0090218D"/>
    <w:rsid w:val="009116BA"/>
    <w:rsid w:val="00913E98"/>
    <w:rsid w:val="00932149"/>
    <w:rsid w:val="0093405E"/>
    <w:rsid w:val="009428C2"/>
    <w:rsid w:val="00945A1F"/>
    <w:rsid w:val="0094617B"/>
    <w:rsid w:val="00946CAB"/>
    <w:rsid w:val="009568D6"/>
    <w:rsid w:val="00967AAA"/>
    <w:rsid w:val="00967F39"/>
    <w:rsid w:val="009732DB"/>
    <w:rsid w:val="00973889"/>
    <w:rsid w:val="00974FAC"/>
    <w:rsid w:val="00975FEF"/>
    <w:rsid w:val="0097718F"/>
    <w:rsid w:val="00984793"/>
    <w:rsid w:val="009932A3"/>
    <w:rsid w:val="009A4D40"/>
    <w:rsid w:val="009A5061"/>
    <w:rsid w:val="009A5EC0"/>
    <w:rsid w:val="009B0585"/>
    <w:rsid w:val="009B272F"/>
    <w:rsid w:val="009B3F2C"/>
    <w:rsid w:val="009B44C3"/>
    <w:rsid w:val="009B4E7B"/>
    <w:rsid w:val="009B54EF"/>
    <w:rsid w:val="009B75CE"/>
    <w:rsid w:val="009C6607"/>
    <w:rsid w:val="009C7966"/>
    <w:rsid w:val="009D23B7"/>
    <w:rsid w:val="009D25A3"/>
    <w:rsid w:val="009D2767"/>
    <w:rsid w:val="009E0692"/>
    <w:rsid w:val="009E2F3A"/>
    <w:rsid w:val="00A038DD"/>
    <w:rsid w:val="00A04650"/>
    <w:rsid w:val="00A04CBC"/>
    <w:rsid w:val="00A05E8D"/>
    <w:rsid w:val="00A20682"/>
    <w:rsid w:val="00A301E3"/>
    <w:rsid w:val="00A354DD"/>
    <w:rsid w:val="00A372A2"/>
    <w:rsid w:val="00A377F7"/>
    <w:rsid w:val="00A37862"/>
    <w:rsid w:val="00A4018F"/>
    <w:rsid w:val="00A43A19"/>
    <w:rsid w:val="00A43C1A"/>
    <w:rsid w:val="00A50D9A"/>
    <w:rsid w:val="00A57BC1"/>
    <w:rsid w:val="00A705EE"/>
    <w:rsid w:val="00A70768"/>
    <w:rsid w:val="00A720D9"/>
    <w:rsid w:val="00A73B6C"/>
    <w:rsid w:val="00A747DA"/>
    <w:rsid w:val="00A769AF"/>
    <w:rsid w:val="00A83509"/>
    <w:rsid w:val="00A864CA"/>
    <w:rsid w:val="00A864D2"/>
    <w:rsid w:val="00A872DD"/>
    <w:rsid w:val="00A936CD"/>
    <w:rsid w:val="00A95636"/>
    <w:rsid w:val="00AA0770"/>
    <w:rsid w:val="00AA372C"/>
    <w:rsid w:val="00AA4BD8"/>
    <w:rsid w:val="00AA6CD1"/>
    <w:rsid w:val="00AB08C1"/>
    <w:rsid w:val="00AB1126"/>
    <w:rsid w:val="00AB23E3"/>
    <w:rsid w:val="00AB3A52"/>
    <w:rsid w:val="00AC5CA2"/>
    <w:rsid w:val="00AC7FD2"/>
    <w:rsid w:val="00AD5B7A"/>
    <w:rsid w:val="00AE0046"/>
    <w:rsid w:val="00AE1732"/>
    <w:rsid w:val="00AE69B9"/>
    <w:rsid w:val="00AF035D"/>
    <w:rsid w:val="00AF2A82"/>
    <w:rsid w:val="00AF48E9"/>
    <w:rsid w:val="00AF59A9"/>
    <w:rsid w:val="00B0104F"/>
    <w:rsid w:val="00B03AE4"/>
    <w:rsid w:val="00B04CD6"/>
    <w:rsid w:val="00B1055E"/>
    <w:rsid w:val="00B13E13"/>
    <w:rsid w:val="00B147FE"/>
    <w:rsid w:val="00B154E3"/>
    <w:rsid w:val="00B174F9"/>
    <w:rsid w:val="00B207C2"/>
    <w:rsid w:val="00B218E7"/>
    <w:rsid w:val="00B27E4D"/>
    <w:rsid w:val="00B356D6"/>
    <w:rsid w:val="00B43B99"/>
    <w:rsid w:val="00B4524E"/>
    <w:rsid w:val="00B4727D"/>
    <w:rsid w:val="00B5158F"/>
    <w:rsid w:val="00B5298E"/>
    <w:rsid w:val="00B60E14"/>
    <w:rsid w:val="00B62F6C"/>
    <w:rsid w:val="00B63C1F"/>
    <w:rsid w:val="00B701CA"/>
    <w:rsid w:val="00B713AD"/>
    <w:rsid w:val="00B731B5"/>
    <w:rsid w:val="00B73A04"/>
    <w:rsid w:val="00B75FE2"/>
    <w:rsid w:val="00B80FDF"/>
    <w:rsid w:val="00B84875"/>
    <w:rsid w:val="00B86947"/>
    <w:rsid w:val="00B91B84"/>
    <w:rsid w:val="00B91DA4"/>
    <w:rsid w:val="00BA2503"/>
    <w:rsid w:val="00BA5A3B"/>
    <w:rsid w:val="00BA5EFD"/>
    <w:rsid w:val="00BA698F"/>
    <w:rsid w:val="00BA7AB7"/>
    <w:rsid w:val="00BB1657"/>
    <w:rsid w:val="00BB2731"/>
    <w:rsid w:val="00BB57CF"/>
    <w:rsid w:val="00BB69B9"/>
    <w:rsid w:val="00BB6DBA"/>
    <w:rsid w:val="00BC60FB"/>
    <w:rsid w:val="00BD4ECC"/>
    <w:rsid w:val="00BE107B"/>
    <w:rsid w:val="00BE40DC"/>
    <w:rsid w:val="00BE5730"/>
    <w:rsid w:val="00BF0224"/>
    <w:rsid w:val="00BF07C1"/>
    <w:rsid w:val="00BF32D8"/>
    <w:rsid w:val="00BF33D0"/>
    <w:rsid w:val="00BF3870"/>
    <w:rsid w:val="00BF4085"/>
    <w:rsid w:val="00BF4C3A"/>
    <w:rsid w:val="00BF50E5"/>
    <w:rsid w:val="00BF7E2D"/>
    <w:rsid w:val="00C14EB9"/>
    <w:rsid w:val="00C15772"/>
    <w:rsid w:val="00C27992"/>
    <w:rsid w:val="00C363BC"/>
    <w:rsid w:val="00C43A35"/>
    <w:rsid w:val="00C43CF3"/>
    <w:rsid w:val="00C470B9"/>
    <w:rsid w:val="00C50EC9"/>
    <w:rsid w:val="00C54B49"/>
    <w:rsid w:val="00C5717C"/>
    <w:rsid w:val="00C579AF"/>
    <w:rsid w:val="00C60D97"/>
    <w:rsid w:val="00C621EB"/>
    <w:rsid w:val="00C62335"/>
    <w:rsid w:val="00C75D37"/>
    <w:rsid w:val="00C813C1"/>
    <w:rsid w:val="00C816C1"/>
    <w:rsid w:val="00C8377B"/>
    <w:rsid w:val="00C91621"/>
    <w:rsid w:val="00C93F06"/>
    <w:rsid w:val="00CA1002"/>
    <w:rsid w:val="00CB1AEC"/>
    <w:rsid w:val="00CB2C3F"/>
    <w:rsid w:val="00CB4225"/>
    <w:rsid w:val="00CB4FFF"/>
    <w:rsid w:val="00CC026D"/>
    <w:rsid w:val="00CC5CC0"/>
    <w:rsid w:val="00CD4A70"/>
    <w:rsid w:val="00CE0D50"/>
    <w:rsid w:val="00CE61A9"/>
    <w:rsid w:val="00CF1A21"/>
    <w:rsid w:val="00CF3CB7"/>
    <w:rsid w:val="00D01EF3"/>
    <w:rsid w:val="00D020CD"/>
    <w:rsid w:val="00D039A3"/>
    <w:rsid w:val="00D05B06"/>
    <w:rsid w:val="00D06017"/>
    <w:rsid w:val="00D06A51"/>
    <w:rsid w:val="00D06D4A"/>
    <w:rsid w:val="00D1084A"/>
    <w:rsid w:val="00D10F2E"/>
    <w:rsid w:val="00D130C7"/>
    <w:rsid w:val="00D14DF2"/>
    <w:rsid w:val="00D15C36"/>
    <w:rsid w:val="00D17E06"/>
    <w:rsid w:val="00D21D8D"/>
    <w:rsid w:val="00D2382C"/>
    <w:rsid w:val="00D23CFC"/>
    <w:rsid w:val="00D24E77"/>
    <w:rsid w:val="00D27A2B"/>
    <w:rsid w:val="00D314F1"/>
    <w:rsid w:val="00D3350D"/>
    <w:rsid w:val="00D336B2"/>
    <w:rsid w:val="00D338E0"/>
    <w:rsid w:val="00D3478B"/>
    <w:rsid w:val="00D37514"/>
    <w:rsid w:val="00D379E6"/>
    <w:rsid w:val="00D50EC1"/>
    <w:rsid w:val="00D56531"/>
    <w:rsid w:val="00D630D9"/>
    <w:rsid w:val="00D671DE"/>
    <w:rsid w:val="00D705B3"/>
    <w:rsid w:val="00D71A9E"/>
    <w:rsid w:val="00D76CF5"/>
    <w:rsid w:val="00D771EA"/>
    <w:rsid w:val="00D842F0"/>
    <w:rsid w:val="00D851E9"/>
    <w:rsid w:val="00D85F55"/>
    <w:rsid w:val="00DA041D"/>
    <w:rsid w:val="00DA21C8"/>
    <w:rsid w:val="00DA32FC"/>
    <w:rsid w:val="00DA48F0"/>
    <w:rsid w:val="00DA61DB"/>
    <w:rsid w:val="00DA744E"/>
    <w:rsid w:val="00DB0E7A"/>
    <w:rsid w:val="00DB14F3"/>
    <w:rsid w:val="00DB17C1"/>
    <w:rsid w:val="00DB2D5C"/>
    <w:rsid w:val="00DB4D6F"/>
    <w:rsid w:val="00DB7B39"/>
    <w:rsid w:val="00DB7FEE"/>
    <w:rsid w:val="00DC3CE7"/>
    <w:rsid w:val="00DC4C35"/>
    <w:rsid w:val="00DC5633"/>
    <w:rsid w:val="00DC6853"/>
    <w:rsid w:val="00DC71A3"/>
    <w:rsid w:val="00DD0660"/>
    <w:rsid w:val="00DD246C"/>
    <w:rsid w:val="00DD33D3"/>
    <w:rsid w:val="00DD4042"/>
    <w:rsid w:val="00DE1C3F"/>
    <w:rsid w:val="00DE2230"/>
    <w:rsid w:val="00DE7132"/>
    <w:rsid w:val="00DF0346"/>
    <w:rsid w:val="00DF2245"/>
    <w:rsid w:val="00DF610A"/>
    <w:rsid w:val="00E008BE"/>
    <w:rsid w:val="00E00965"/>
    <w:rsid w:val="00E04272"/>
    <w:rsid w:val="00E077AD"/>
    <w:rsid w:val="00E113BC"/>
    <w:rsid w:val="00E1440B"/>
    <w:rsid w:val="00E14F4A"/>
    <w:rsid w:val="00E214A1"/>
    <w:rsid w:val="00E222E8"/>
    <w:rsid w:val="00E27F00"/>
    <w:rsid w:val="00E30785"/>
    <w:rsid w:val="00E316B2"/>
    <w:rsid w:val="00E31980"/>
    <w:rsid w:val="00E40A80"/>
    <w:rsid w:val="00E40B2C"/>
    <w:rsid w:val="00E446CB"/>
    <w:rsid w:val="00E47386"/>
    <w:rsid w:val="00E5028B"/>
    <w:rsid w:val="00E62FA9"/>
    <w:rsid w:val="00E66858"/>
    <w:rsid w:val="00E708FA"/>
    <w:rsid w:val="00E70B82"/>
    <w:rsid w:val="00E70BDB"/>
    <w:rsid w:val="00E710FF"/>
    <w:rsid w:val="00E7381D"/>
    <w:rsid w:val="00E80151"/>
    <w:rsid w:val="00E952ED"/>
    <w:rsid w:val="00E9611E"/>
    <w:rsid w:val="00E971F2"/>
    <w:rsid w:val="00E97A65"/>
    <w:rsid w:val="00EA2420"/>
    <w:rsid w:val="00EA2974"/>
    <w:rsid w:val="00EA49E2"/>
    <w:rsid w:val="00EA578C"/>
    <w:rsid w:val="00EA6D48"/>
    <w:rsid w:val="00EA79E3"/>
    <w:rsid w:val="00EB0CB0"/>
    <w:rsid w:val="00EB6182"/>
    <w:rsid w:val="00EB74D3"/>
    <w:rsid w:val="00EB77B3"/>
    <w:rsid w:val="00EC3BD2"/>
    <w:rsid w:val="00EC51A5"/>
    <w:rsid w:val="00ED5091"/>
    <w:rsid w:val="00ED5BE4"/>
    <w:rsid w:val="00ED61F7"/>
    <w:rsid w:val="00ED7383"/>
    <w:rsid w:val="00ED775B"/>
    <w:rsid w:val="00EE2692"/>
    <w:rsid w:val="00EE54C4"/>
    <w:rsid w:val="00EE58CA"/>
    <w:rsid w:val="00EE6A66"/>
    <w:rsid w:val="00EE6D13"/>
    <w:rsid w:val="00EE75D0"/>
    <w:rsid w:val="00EF1702"/>
    <w:rsid w:val="00EF2058"/>
    <w:rsid w:val="00EF3DD4"/>
    <w:rsid w:val="00EF48BB"/>
    <w:rsid w:val="00EF6B91"/>
    <w:rsid w:val="00EF7584"/>
    <w:rsid w:val="00F01620"/>
    <w:rsid w:val="00F038E4"/>
    <w:rsid w:val="00F03B39"/>
    <w:rsid w:val="00F053FA"/>
    <w:rsid w:val="00F05994"/>
    <w:rsid w:val="00F061F0"/>
    <w:rsid w:val="00F1177A"/>
    <w:rsid w:val="00F15C09"/>
    <w:rsid w:val="00F17977"/>
    <w:rsid w:val="00F21F76"/>
    <w:rsid w:val="00F22F12"/>
    <w:rsid w:val="00F2315F"/>
    <w:rsid w:val="00F32126"/>
    <w:rsid w:val="00F35459"/>
    <w:rsid w:val="00F42793"/>
    <w:rsid w:val="00F44EB7"/>
    <w:rsid w:val="00F46CE0"/>
    <w:rsid w:val="00F52D56"/>
    <w:rsid w:val="00F540D6"/>
    <w:rsid w:val="00F57E23"/>
    <w:rsid w:val="00F61C7B"/>
    <w:rsid w:val="00F634C2"/>
    <w:rsid w:val="00F6350E"/>
    <w:rsid w:val="00F65DFD"/>
    <w:rsid w:val="00F674C4"/>
    <w:rsid w:val="00F700AD"/>
    <w:rsid w:val="00F71072"/>
    <w:rsid w:val="00F730E3"/>
    <w:rsid w:val="00F84ADF"/>
    <w:rsid w:val="00F85841"/>
    <w:rsid w:val="00F85849"/>
    <w:rsid w:val="00F90777"/>
    <w:rsid w:val="00F943EF"/>
    <w:rsid w:val="00F954FB"/>
    <w:rsid w:val="00F967E6"/>
    <w:rsid w:val="00FA48A8"/>
    <w:rsid w:val="00FA7BDA"/>
    <w:rsid w:val="00FB0972"/>
    <w:rsid w:val="00FB2F84"/>
    <w:rsid w:val="00FB4238"/>
    <w:rsid w:val="00FB44D4"/>
    <w:rsid w:val="00FB6AAC"/>
    <w:rsid w:val="00FC214F"/>
    <w:rsid w:val="00FC56E1"/>
    <w:rsid w:val="00FC76EB"/>
    <w:rsid w:val="00FD2381"/>
    <w:rsid w:val="00FD321A"/>
    <w:rsid w:val="00FD37C9"/>
    <w:rsid w:val="00FD7237"/>
    <w:rsid w:val="00FE1F31"/>
    <w:rsid w:val="00FE1F5B"/>
    <w:rsid w:val="00FF00B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90"/>
    </o:shapedefaults>
    <o:shapelayout v:ext="edit">
      <o:idmap v:ext="edit" data="1"/>
    </o:shapelayout>
  </w:shapeDefaults>
  <w:decimalSymbol w:val=","/>
  <w:listSeparator w:val=";"/>
  <w15:docId w15:val="{27DA4160-36E6-456F-923A-D5DE963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  <w:lang w:val="x-none" w:eastAsia="x-none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  <w:lang w:val="x-none" w:eastAsia="x-none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 w:eastAsia="x-none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uiPriority w:val="99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 w:eastAsia="x-none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Normlntext">
    <w:name w:val="Normální text"/>
    <w:basedOn w:val="Normln"/>
    <w:qFormat/>
    <w:rsid w:val="00E40B2C"/>
    <w:pPr>
      <w:spacing w:line="240" w:lineRule="auto"/>
      <w:ind w:firstLine="0"/>
    </w:pPr>
    <w:rPr>
      <w:rFonts w:eastAsia="Calibri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Vlckova@admospher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ie.Vlckova@admospher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C7E5E-1C4E-4F68-B2FF-4E094D27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3998</CharactersWithSpaces>
  <SharedDoc>false</SharedDoc>
  <HLinks>
    <vt:vector size="18" baseType="variant"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mailto:Hana.Friedlaenderova@admosphere.cz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mailto:Lucie.Vlckova@admosphere.cz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pavlach</dc:creator>
  <cp:keywords/>
  <dc:description/>
  <cp:lastModifiedBy>Eliška Morochovičová</cp:lastModifiedBy>
  <cp:revision>2</cp:revision>
  <cp:lastPrinted>2008-09-29T05:48:00Z</cp:lastPrinted>
  <dcterms:created xsi:type="dcterms:W3CDTF">2017-07-25T10:48:00Z</dcterms:created>
  <dcterms:modified xsi:type="dcterms:W3CDTF">2017-07-25T10:48:00Z</dcterms:modified>
</cp:coreProperties>
</file>